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C4" w:rsidRDefault="009A66C4">
      <w:pPr>
        <w:pStyle w:val="NoSpacing"/>
        <w:tabs>
          <w:tab w:val="left" w:pos="567"/>
        </w:tabs>
        <w:spacing w:line="360" w:lineRule="auto"/>
        <w:rPr>
          <w:sz w:val="2"/>
          <w:szCs w:val="2"/>
          <w:lang w:val="id-ID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9A66C4">
        <w:tc>
          <w:tcPr>
            <w:tcW w:w="7938" w:type="dxa"/>
          </w:tcPr>
          <w:p w:rsidR="009A66C4" w:rsidRDefault="006E350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9A66C4">
        <w:tc>
          <w:tcPr>
            <w:tcW w:w="7938" w:type="dxa"/>
          </w:tcPr>
          <w:p w:rsidR="009A66C4" w:rsidRDefault="006E350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9A66C4" w:rsidRDefault="006E350B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9A66C4">
        <w:tc>
          <w:tcPr>
            <w:tcW w:w="7938" w:type="dxa"/>
          </w:tcPr>
          <w:p w:rsidR="009A66C4" w:rsidRDefault="006E350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9A66C4">
        <w:trPr>
          <w:trHeight w:val="74"/>
        </w:trPr>
        <w:tc>
          <w:tcPr>
            <w:tcW w:w="7938" w:type="dxa"/>
          </w:tcPr>
          <w:p w:rsidR="009A66C4" w:rsidRDefault="006E35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9A66C4" w:rsidRDefault="006E350B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9950" cy="0"/>
                <wp:effectExtent l="0" t="19050" r="127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80DC9" id="Lin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468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" strokeweight="3pt">
                <v:stroke linestyle="thinThin"/>
              </v:line>
            </w:pict>
          </mc:Fallback>
        </mc:AlternateContent>
      </w:r>
    </w:p>
    <w:p w:rsidR="009A66C4" w:rsidRDefault="006E350B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w w:val="95"/>
          <w:sz w:val="20"/>
          <w:szCs w:val="20"/>
        </w:rPr>
      </w:pPr>
      <w:r>
        <w:rPr>
          <w:rFonts w:ascii="Bookman Old Style" w:hAnsi="Bookman Old Style"/>
          <w:w w:val="75"/>
          <w:sz w:val="20"/>
          <w:szCs w:val="20"/>
          <w:fitText w:val="486" w:id="2049975263"/>
          <w:lang w:val="sv-SE"/>
        </w:rPr>
        <w:t>Nomor</w:t>
      </w:r>
      <w:r>
        <w:rPr>
          <w:rFonts w:ascii="Bookman Old Style" w:hAnsi="Bookman Old Style"/>
          <w:w w:val="95"/>
          <w:sz w:val="20"/>
          <w:szCs w:val="20"/>
          <w:lang w:val="sv-SE"/>
        </w:rPr>
        <w:tab/>
        <w:t>:</w:t>
      </w:r>
      <w:r>
        <w:rPr>
          <w:rFonts w:ascii="Bookman Old Style" w:hAnsi="Bookman Old Style"/>
          <w:w w:val="95"/>
          <w:sz w:val="20"/>
          <w:szCs w:val="20"/>
          <w:lang w:val="sv-SE"/>
        </w:rPr>
        <w:tab/>
        <w:t xml:space="preserve"> W3-A/</w:t>
      </w:r>
      <w:r w:rsidR="00A66383">
        <w:rPr>
          <w:rFonts w:ascii="Bookman Old Style" w:hAnsi="Bookman Old Style"/>
          <w:w w:val="95"/>
          <w:sz w:val="20"/>
          <w:szCs w:val="20"/>
        </w:rPr>
        <w:t xml:space="preserve">        </w:t>
      </w:r>
      <w:r>
        <w:rPr>
          <w:rFonts w:ascii="Bookman Old Style" w:hAnsi="Bookman Old Style"/>
          <w:w w:val="95"/>
          <w:sz w:val="20"/>
          <w:szCs w:val="20"/>
        </w:rPr>
        <w:t xml:space="preserve"> </w:t>
      </w:r>
      <w:r>
        <w:rPr>
          <w:rFonts w:ascii="Bookman Old Style" w:hAnsi="Bookman Old Style"/>
          <w:w w:val="95"/>
          <w:sz w:val="20"/>
          <w:szCs w:val="20"/>
          <w:lang w:val="sv-SE"/>
        </w:rPr>
        <w:t>/</w:t>
      </w:r>
      <w:r w:rsidR="00A66383">
        <w:rPr>
          <w:rFonts w:ascii="Bookman Old Style" w:hAnsi="Bookman Old Style"/>
          <w:w w:val="95"/>
          <w:sz w:val="20"/>
          <w:szCs w:val="20"/>
          <w:lang w:val="sv-SE"/>
        </w:rPr>
        <w:t>KU</w:t>
      </w:r>
      <w:r>
        <w:rPr>
          <w:rFonts w:ascii="Bookman Old Style" w:hAnsi="Bookman Old Style"/>
          <w:w w:val="95"/>
          <w:sz w:val="20"/>
          <w:szCs w:val="20"/>
          <w:lang w:val="sv-SE"/>
        </w:rPr>
        <w:t>.00/</w:t>
      </w:r>
      <w:r w:rsidR="00A66383">
        <w:rPr>
          <w:rFonts w:ascii="Bookman Old Style" w:hAnsi="Bookman Old Style"/>
          <w:w w:val="95"/>
          <w:sz w:val="20"/>
          <w:szCs w:val="20"/>
        </w:rPr>
        <w:t>4</w:t>
      </w:r>
      <w:bookmarkStart w:id="0" w:name="_GoBack"/>
      <w:bookmarkEnd w:id="0"/>
      <w:r>
        <w:rPr>
          <w:rFonts w:ascii="Bookman Old Style" w:hAnsi="Bookman Old Style"/>
          <w:w w:val="95"/>
          <w:sz w:val="20"/>
          <w:szCs w:val="20"/>
          <w:lang w:val="sv-SE"/>
        </w:rPr>
        <w:t>/20</w:t>
      </w:r>
      <w:r>
        <w:rPr>
          <w:rFonts w:ascii="Bookman Old Style" w:hAnsi="Bookman Old Style"/>
          <w:w w:val="95"/>
          <w:sz w:val="20"/>
          <w:szCs w:val="20"/>
          <w:lang w:val="id-ID"/>
        </w:rPr>
        <w:t>2</w:t>
      </w:r>
      <w:r w:rsidR="00A66383">
        <w:rPr>
          <w:rFonts w:ascii="Bookman Old Style" w:hAnsi="Bookman Old Style"/>
          <w:w w:val="95"/>
          <w:sz w:val="20"/>
          <w:szCs w:val="20"/>
        </w:rPr>
        <w:t>2</w:t>
      </w:r>
      <w:r>
        <w:rPr>
          <w:rFonts w:ascii="Bookman Old Style" w:hAnsi="Bookman Old Style"/>
          <w:w w:val="95"/>
          <w:sz w:val="20"/>
          <w:szCs w:val="20"/>
          <w:lang w:val="sv-SE"/>
        </w:rPr>
        <w:tab/>
      </w:r>
      <w:r>
        <w:rPr>
          <w:rFonts w:ascii="Bookman Old Style" w:hAnsi="Bookman Old Style"/>
          <w:w w:val="95"/>
          <w:sz w:val="20"/>
          <w:szCs w:val="20"/>
          <w:lang w:val="id-ID"/>
        </w:rPr>
        <w:t xml:space="preserve">Padang, </w:t>
      </w:r>
      <w:r>
        <w:rPr>
          <w:rFonts w:ascii="Bookman Old Style" w:hAnsi="Bookman Old Style"/>
          <w:w w:val="95"/>
          <w:sz w:val="20"/>
          <w:szCs w:val="20"/>
          <w:lang w:val="id-ID"/>
        </w:rPr>
        <w:t xml:space="preserve"> </w:t>
      </w:r>
      <w:r w:rsidR="00A66383">
        <w:rPr>
          <w:rFonts w:ascii="Bookman Old Style" w:hAnsi="Bookman Old Style"/>
          <w:w w:val="95"/>
          <w:sz w:val="20"/>
          <w:szCs w:val="20"/>
        </w:rPr>
        <w:t xml:space="preserve">   April</w:t>
      </w:r>
      <w:r>
        <w:rPr>
          <w:rFonts w:ascii="Bookman Old Style" w:hAnsi="Bookman Old Style"/>
          <w:w w:val="95"/>
          <w:sz w:val="20"/>
          <w:szCs w:val="20"/>
          <w:lang w:val="id-ID"/>
        </w:rPr>
        <w:t xml:space="preserve"> 202</w:t>
      </w:r>
      <w:r w:rsidR="00A66383">
        <w:rPr>
          <w:rFonts w:ascii="Bookman Old Style" w:hAnsi="Bookman Old Style"/>
          <w:w w:val="95"/>
          <w:sz w:val="20"/>
          <w:szCs w:val="20"/>
        </w:rPr>
        <w:t>2</w:t>
      </w:r>
    </w:p>
    <w:p w:rsidR="009A66C4" w:rsidRDefault="006E350B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w w:val="95"/>
          <w:sz w:val="20"/>
          <w:szCs w:val="20"/>
          <w:lang w:val="id-ID"/>
        </w:rPr>
      </w:pPr>
      <w:r>
        <w:rPr>
          <w:rFonts w:ascii="Bookman Old Style" w:hAnsi="Bookman Old Style"/>
          <w:w w:val="95"/>
          <w:sz w:val="20"/>
          <w:szCs w:val="20"/>
          <w:lang w:val="id-ID"/>
        </w:rPr>
        <w:t>Sifat</w:t>
      </w:r>
      <w:r>
        <w:rPr>
          <w:rFonts w:ascii="Bookman Old Style" w:hAnsi="Bookman Old Style"/>
          <w:w w:val="95"/>
          <w:sz w:val="20"/>
          <w:szCs w:val="20"/>
          <w:lang w:val="id-ID"/>
        </w:rPr>
        <w:tab/>
        <w:t>: Penting</w:t>
      </w:r>
    </w:p>
    <w:p w:rsidR="00A66383" w:rsidRPr="00A66383" w:rsidRDefault="00A66383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w w:val="95"/>
          <w:sz w:val="20"/>
          <w:szCs w:val="20"/>
        </w:rPr>
      </w:pPr>
      <w:r>
        <w:rPr>
          <w:rFonts w:ascii="Bookman Old Style" w:hAnsi="Bookman Old Style"/>
          <w:w w:val="95"/>
          <w:sz w:val="20"/>
          <w:szCs w:val="20"/>
        </w:rPr>
        <w:t xml:space="preserve">Lampiran: 1 </w:t>
      </w:r>
      <w:proofErr w:type="spellStart"/>
      <w:r>
        <w:rPr>
          <w:rFonts w:ascii="Bookman Old Style" w:hAnsi="Bookman Old Style"/>
          <w:w w:val="95"/>
          <w:sz w:val="20"/>
          <w:szCs w:val="20"/>
        </w:rPr>
        <w:t>berkas</w:t>
      </w:r>
      <w:proofErr w:type="spellEnd"/>
    </w:p>
    <w:p w:rsidR="009A66C4" w:rsidRDefault="006E350B">
      <w:pPr>
        <w:tabs>
          <w:tab w:val="left" w:pos="900"/>
          <w:tab w:val="left" w:pos="990"/>
          <w:tab w:val="left" w:pos="5387"/>
          <w:tab w:val="left" w:pos="5529"/>
        </w:tabs>
        <w:ind w:left="990" w:right="3356" w:hanging="990"/>
        <w:rPr>
          <w:rFonts w:ascii="Bookman Old Style" w:hAnsi="Bookman Old Style"/>
          <w:w w:val="95"/>
          <w:sz w:val="20"/>
          <w:szCs w:val="20"/>
        </w:rPr>
      </w:pPr>
      <w:r>
        <w:rPr>
          <w:rFonts w:ascii="Bookman Old Style" w:hAnsi="Bookman Old Style"/>
          <w:w w:val="95"/>
          <w:sz w:val="20"/>
          <w:szCs w:val="20"/>
          <w:lang w:val="sv-SE"/>
        </w:rPr>
        <w:t>Hal</w:t>
      </w:r>
      <w:r>
        <w:rPr>
          <w:rFonts w:ascii="Bookman Old Style" w:hAnsi="Bookman Old Style"/>
          <w:w w:val="95"/>
          <w:sz w:val="20"/>
          <w:szCs w:val="20"/>
          <w:lang w:val="sv-SE"/>
        </w:rPr>
        <w:tab/>
        <w:t xml:space="preserve">: </w:t>
      </w:r>
      <w:r>
        <w:rPr>
          <w:rFonts w:ascii="Bookman Old Style" w:hAnsi="Bookman Old Style"/>
          <w:w w:val="95"/>
          <w:sz w:val="20"/>
          <w:szCs w:val="20"/>
          <w:lang w:val="id-ID"/>
        </w:rPr>
        <w:t>Penilaian Khusus Kinerja  Pengadilan di  Lingkungan  Peradilan Agama</w:t>
      </w:r>
    </w:p>
    <w:p w:rsidR="009A66C4" w:rsidRDefault="009A66C4">
      <w:pPr>
        <w:ind w:left="1080" w:right="4439"/>
        <w:rPr>
          <w:rFonts w:ascii="Bookman Old Style" w:hAnsi="Bookman Old Style"/>
          <w:w w:val="95"/>
          <w:sz w:val="20"/>
          <w:szCs w:val="20"/>
          <w:lang w:val="sv-SE"/>
        </w:rPr>
      </w:pPr>
    </w:p>
    <w:p w:rsidR="009A66C4" w:rsidRDefault="006E350B">
      <w:pPr>
        <w:pStyle w:val="Subtitle"/>
        <w:ind w:left="99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</w:pP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Yth.</w:t>
      </w:r>
    </w:p>
    <w:p w:rsidR="009A66C4" w:rsidRDefault="006E350B" w:rsidP="00E939C0">
      <w:pPr>
        <w:pStyle w:val="Subtitle"/>
        <w:tabs>
          <w:tab w:val="left" w:pos="7290"/>
        </w:tabs>
        <w:ind w:left="993"/>
        <w:jc w:val="both"/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</w:pP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Ketua Pengadilan Agama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ab/>
      </w:r>
    </w:p>
    <w:p w:rsidR="009A66C4" w:rsidRDefault="006E350B">
      <w:pPr>
        <w:pStyle w:val="Subtitle"/>
        <w:ind w:left="993"/>
        <w:jc w:val="both"/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</w:pP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Se-Wilayah Pengadilan Tinggi Agama Padang</w:t>
      </w:r>
    </w:p>
    <w:p w:rsidR="009A66C4" w:rsidRDefault="006E350B">
      <w:pPr>
        <w:pStyle w:val="Subtitle"/>
        <w:ind w:left="99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Di -</w:t>
      </w:r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</w:p>
    <w:p w:rsidR="009A66C4" w:rsidRDefault="006E350B">
      <w:pPr>
        <w:pStyle w:val="Subtitle"/>
        <w:ind w:left="156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Tempat</w:t>
      </w:r>
    </w:p>
    <w:p w:rsidR="009A66C4" w:rsidRDefault="009A66C4">
      <w:pPr>
        <w:pStyle w:val="Subtitle"/>
        <w:ind w:left="153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</w:pPr>
    </w:p>
    <w:p w:rsidR="009A66C4" w:rsidRDefault="006E350B">
      <w:pPr>
        <w:pStyle w:val="Subtitle"/>
        <w:ind w:left="990"/>
        <w:jc w:val="both"/>
        <w:rPr>
          <w:rFonts w:ascii="Bookman Old Style" w:hAnsi="Bookman Old Style"/>
          <w:b w:val="0"/>
          <w:bCs w:val="0"/>
          <w:i/>
          <w:w w:val="95"/>
          <w:sz w:val="20"/>
          <w:szCs w:val="20"/>
          <w:lang w:val="id-ID"/>
        </w:rPr>
      </w:pPr>
      <w:r>
        <w:rPr>
          <w:rFonts w:ascii="Bookman Old Style" w:hAnsi="Bookman Old Style"/>
          <w:b w:val="0"/>
          <w:bCs w:val="0"/>
          <w:i/>
          <w:w w:val="95"/>
          <w:sz w:val="20"/>
          <w:szCs w:val="20"/>
          <w:lang w:val="fi-FI"/>
        </w:rPr>
        <w:t>Assalamu’alaikum Wr. Wb.</w:t>
      </w:r>
    </w:p>
    <w:p w:rsidR="009A66C4" w:rsidRDefault="009A66C4">
      <w:pPr>
        <w:pStyle w:val="Subtitle"/>
        <w:ind w:left="99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</w:pPr>
    </w:p>
    <w:p w:rsidR="00E939C0" w:rsidRPr="00E939C0" w:rsidRDefault="006E350B" w:rsidP="00E939C0">
      <w:pPr>
        <w:pStyle w:val="Subtitle"/>
        <w:ind w:left="990" w:firstLine="72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 xml:space="preserve">Menindaklanjuti surat </w:t>
      </w:r>
      <w:proofErr w:type="spellStart"/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M</w:t>
      </w:r>
      <w:proofErr w:type="spellStart"/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ahkamah</w:t>
      </w:r>
      <w:proofErr w:type="spellEnd"/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A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gung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 xml:space="preserve"> RI Nomor 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808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/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SEK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/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KU</w:t>
      </w:r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>.00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/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03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/202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2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>tanggal</w:t>
      </w:r>
      <w:proofErr w:type="spellEnd"/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29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>M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aret</w:t>
      </w:r>
      <w:proofErr w:type="spellEnd"/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20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2</w:t>
      </w:r>
      <w:r w:rsid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2</w:t>
      </w:r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 xml:space="preserve">perihal </w:t>
      </w:r>
      <w:r>
        <w:rPr>
          <w:rFonts w:ascii="Bookman Old Style" w:hAnsi="Bookman Old Style"/>
          <w:b w:val="0"/>
          <w:w w:val="95"/>
          <w:sz w:val="20"/>
          <w:szCs w:val="20"/>
          <w:lang w:val="id-ID"/>
        </w:rPr>
        <w:t>sebagaimana tersebut di atas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 xml:space="preserve">,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Sehubungan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hasil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pembahasan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dengan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Tim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Pemeriksa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BPK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atas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pemeriksaan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Laporan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Keuangan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Perkara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Tahun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2021   dan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berdasarkan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data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sumber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dari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aplikasi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KOMDANAS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masih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terdapat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selisih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antara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saldo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Penutupan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Buku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Keuangan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Perkara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dengan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Saldo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Uang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Tonai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dan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Saldo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Rekening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Bank pada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Rekening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Perkara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yang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belum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dapat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dijelaskan</w:t>
      </w:r>
      <w:proofErr w:type="spellEnd"/>
      <w:r w:rsidR="00E939C0"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.</w:t>
      </w:r>
    </w:p>
    <w:p w:rsidR="00E939C0" w:rsidRPr="00E939C0" w:rsidRDefault="00E939C0" w:rsidP="00D47C40">
      <w:pPr>
        <w:pStyle w:val="Subtitle"/>
        <w:ind w:left="990" w:firstLine="72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Berdasarkan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      Surat       Keputusan     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Ketua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   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Mahkamah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     Agung    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Nomor</w:t>
      </w:r>
      <w:proofErr w:type="spellEnd"/>
      <w:r w:rsidR="00B06C1E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239/KMA/SK/XI/2021</w:t>
      </w:r>
      <w:r w:rsidR="00B06C1E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tentang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Pemberlakuan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Aplikasi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e-</w:t>
      </w:r>
      <w:proofErr w:type="gram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BIMA  pada</w:t>
      </w:r>
      <w:proofErr w:type="gram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Mahkamah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Agung dan  Badan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Peradilan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yang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Berada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Dibawahnya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,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dengan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ini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diminta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kepada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Saudara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Panitera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Pengadilan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Tingkat Banding dan Tingkat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Pertama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Pertama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sebagai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berikut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:</w:t>
      </w:r>
    </w:p>
    <w:p w:rsidR="00A66383" w:rsidRDefault="00E939C0" w:rsidP="00A66383">
      <w:pPr>
        <w:pStyle w:val="Subtitle"/>
        <w:numPr>
          <w:ilvl w:val="0"/>
          <w:numId w:val="3"/>
        </w:numPr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Mengisi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data </w:t>
      </w:r>
      <w:proofErr w:type="gram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dan  upload</w:t>
      </w:r>
      <w:proofErr w:type="gram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Dokumen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Sumber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Keuangan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Perkara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dengan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lengkap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pada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Aplikasi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e-BIMA menu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Keuangan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Perkara</w:t>
      </w:r>
      <w:proofErr w:type="spellEnd"/>
      <w:r w:rsidR="00B06C1E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→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Pemeriksaan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Keuangan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Perkara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periode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31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Desember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2021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dengan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kode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satuan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kerja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masing-masing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Direktorat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Jenderal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Badan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Peradilan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(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kode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satuan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kerja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teknis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);</w:t>
      </w:r>
      <w:proofErr w:type="spellStart"/>
    </w:p>
    <w:p w:rsidR="00A66383" w:rsidRDefault="00E939C0" w:rsidP="00A66383">
      <w:pPr>
        <w:pStyle w:val="Subtitle"/>
        <w:numPr>
          <w:ilvl w:val="0"/>
          <w:numId w:val="3"/>
        </w:numPr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Sesuai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     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dengan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.         Surat       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Sekretaris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     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Mahkamah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       Agung       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Nomor</w:t>
      </w:r>
      <w:proofErr w:type="spellEnd"/>
      <w:r w:rsidR="00B06C1E"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1664/SEK/KU.01/11/</w:t>
      </w:r>
      <w:proofErr w:type="gram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2019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tanggal</w:t>
      </w:r>
      <w:proofErr w:type="spellEnd"/>
      <w:proofErr w:type="gram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28  November  2019  (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terlampir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)  yang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sudah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di</w:t>
      </w:r>
      <w:r w:rsidRPr="00A66383">
        <w:rPr>
          <w:rFonts w:ascii="Bookman Old Style" w:hAnsi="Bookman Old Style"/>
          <w:b w:val="0"/>
          <w:bCs w:val="0"/>
          <w:i/>
          <w:w w:val="95"/>
          <w:sz w:val="20"/>
          <w:szCs w:val="20"/>
        </w:rPr>
        <w:t>upload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pada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tanggal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yang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sama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pada  website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resmi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Mahkamah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Agung,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maka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apabila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terdapat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selisih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satuan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kerja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wajib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memberikan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penjelasan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dengan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lengkap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dan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jelas.</w:t>
      </w:r>
      <w:proofErr w:type="spellEnd"/>
    </w:p>
    <w:p w:rsidR="00E939C0" w:rsidRDefault="00E939C0" w:rsidP="00A66383">
      <w:pPr>
        <w:pStyle w:val="Subtitle"/>
        <w:numPr>
          <w:ilvl w:val="0"/>
          <w:numId w:val="3"/>
        </w:numPr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Data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tersebut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diisi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paling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lambat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tanggal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4 April 2022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untuk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kemudian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dijadikan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data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pemeriksaan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oleh </w:t>
      </w:r>
      <w:proofErr w:type="spellStart"/>
      <w:proofErr w:type="gram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tim</w:t>
      </w:r>
      <w:proofErr w:type="spell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 </w:t>
      </w:r>
      <w:proofErr w:type="spellStart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pemeriksa</w:t>
      </w:r>
      <w:proofErr w:type="spellEnd"/>
      <w:proofErr w:type="gramEnd"/>
      <w:r w:rsidRP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BPK.</w:t>
      </w:r>
    </w:p>
    <w:p w:rsidR="00A66383" w:rsidRPr="00A66383" w:rsidRDefault="00A66383" w:rsidP="00A66383">
      <w:pPr>
        <w:pStyle w:val="Subtitle"/>
        <w:ind w:left="171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</w:p>
    <w:p w:rsidR="00B06C1E" w:rsidRDefault="00E939C0" w:rsidP="00B06C1E">
      <w:pPr>
        <w:pStyle w:val="Subtitle"/>
        <w:ind w:left="990" w:firstLine="72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Untuk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itu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diminta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kepada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Saudara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melakukan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gram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monitoring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secara</w:t>
      </w:r>
      <w:proofErr w:type="spellEnd"/>
      <w:proofErr w:type="gram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berjenjang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atas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pengisian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data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tersebut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. 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Apabila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hingga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batas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waktu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terdapat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satuan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kerja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yang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belum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menginput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,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maka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akan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dilaporkan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kepada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Kepala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Badan</w:t>
      </w:r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Pengawasan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Mahkamah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Agung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untuk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diproses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sesuai</w:t>
      </w:r>
      <w:proofErr w:type="spellEnd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Pr="00E939C0">
        <w:rPr>
          <w:rFonts w:ascii="Bookman Old Style" w:hAnsi="Bookman Old Style"/>
          <w:b w:val="0"/>
          <w:bCs w:val="0"/>
          <w:w w:val="95"/>
          <w:sz w:val="20"/>
          <w:szCs w:val="20"/>
        </w:rPr>
        <w:t>ketentuan</w:t>
      </w:r>
      <w:proofErr w:type="spellEnd"/>
      <w:r w:rsidR="00B06C1E">
        <w:rPr>
          <w:rFonts w:ascii="Bookman Old Style" w:hAnsi="Bookman Old Style"/>
          <w:b w:val="0"/>
          <w:bCs w:val="0"/>
          <w:w w:val="95"/>
          <w:sz w:val="20"/>
          <w:szCs w:val="20"/>
        </w:rPr>
        <w:t>.</w:t>
      </w:r>
    </w:p>
    <w:p w:rsidR="009A66C4" w:rsidRPr="00B06C1E" w:rsidRDefault="006E350B" w:rsidP="00B06C1E">
      <w:pPr>
        <w:pStyle w:val="Subtitle"/>
        <w:ind w:left="990" w:firstLine="72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</w:rPr>
      </w:pPr>
      <w:r>
        <w:rPr>
          <w:rFonts w:ascii="Bookman Old Style" w:hAnsi="Bookman Old Style"/>
          <w:b w:val="0"/>
          <w:bCs w:val="0"/>
          <w:w w:val="95"/>
          <w:sz w:val="20"/>
          <w:szCs w:val="20"/>
          <w:lang w:val="fi-FI"/>
        </w:rPr>
        <w:t xml:space="preserve">Demikian 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disampaikan</w:t>
      </w:r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untuk</w:t>
      </w:r>
      <w:proofErr w:type="spellEnd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dilaksanakan</w:t>
      </w:r>
      <w:proofErr w:type="spellEnd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dengan</w:t>
      </w:r>
      <w:proofErr w:type="spellEnd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penuh</w:t>
      </w:r>
      <w:proofErr w:type="spellEnd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tanggung</w:t>
      </w:r>
      <w:proofErr w:type="spellEnd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jawab</w:t>
      </w:r>
      <w:proofErr w:type="spellEnd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.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 xml:space="preserve"> </w:t>
      </w:r>
      <w:proofErr w:type="spellStart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A</w:t>
      </w:r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>tas</w:t>
      </w:r>
      <w:proofErr w:type="spellEnd"/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w w:val="95"/>
          <w:sz w:val="20"/>
          <w:szCs w:val="20"/>
        </w:rPr>
        <w:t>perh</w:t>
      </w:r>
      <w:proofErr w:type="spellEnd"/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atian</w:t>
      </w:r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dan </w:t>
      </w:r>
      <w:proofErr w:type="spellStart"/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>kerjasamanya</w:t>
      </w:r>
      <w:proofErr w:type="spellEnd"/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 xml:space="preserve"> diucapkan terima</w:t>
      </w:r>
      <w:r w:rsidR="00A66383">
        <w:rPr>
          <w:rFonts w:ascii="Bookman Old Style" w:hAnsi="Bookman Old Style"/>
          <w:b w:val="0"/>
          <w:bCs w:val="0"/>
          <w:w w:val="95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bCs w:val="0"/>
          <w:w w:val="95"/>
          <w:sz w:val="20"/>
          <w:szCs w:val="20"/>
          <w:lang w:val="id-ID"/>
        </w:rPr>
        <w:t>kasih.</w:t>
      </w:r>
    </w:p>
    <w:p w:rsidR="009A66C4" w:rsidRDefault="009A66C4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w w:val="95"/>
          <w:sz w:val="20"/>
          <w:szCs w:val="20"/>
          <w:lang w:val="fi-FI"/>
        </w:rPr>
      </w:pPr>
    </w:p>
    <w:p w:rsidR="009A66C4" w:rsidRDefault="006E350B" w:rsidP="00B06C1E">
      <w:pPr>
        <w:pStyle w:val="Subtitle"/>
        <w:tabs>
          <w:tab w:val="left" w:pos="1800"/>
        </w:tabs>
        <w:ind w:left="5670"/>
        <w:jc w:val="both"/>
        <w:rPr>
          <w:rFonts w:ascii="Bookman Old Style" w:hAnsi="Bookman Old Style"/>
          <w:b w:val="0"/>
          <w:bCs w:val="0"/>
          <w:w w:val="95"/>
          <w:sz w:val="20"/>
          <w:szCs w:val="20"/>
          <w:lang w:val="fi-FI"/>
        </w:rPr>
      </w:pPr>
      <w:r>
        <w:rPr>
          <w:rFonts w:ascii="Bookman Old Style" w:hAnsi="Bookman Old Style"/>
          <w:b w:val="0"/>
          <w:bCs w:val="0"/>
          <w:w w:val="95"/>
          <w:sz w:val="20"/>
          <w:szCs w:val="20"/>
          <w:lang w:val="fi-FI"/>
        </w:rPr>
        <w:t>Wassalam</w:t>
      </w:r>
    </w:p>
    <w:p w:rsidR="009A66C4" w:rsidRDefault="006E350B" w:rsidP="00B06C1E">
      <w:pPr>
        <w:pStyle w:val="Subtitle"/>
        <w:tabs>
          <w:tab w:val="left" w:pos="1800"/>
        </w:tabs>
        <w:ind w:left="5670"/>
        <w:jc w:val="both"/>
        <w:rPr>
          <w:rFonts w:ascii="Bookman Old Style" w:hAnsi="Bookman Old Style"/>
          <w:b w:val="0"/>
          <w:w w:val="95"/>
          <w:sz w:val="20"/>
          <w:szCs w:val="20"/>
        </w:rPr>
      </w:pPr>
      <w:proofErr w:type="spellStart"/>
      <w:r>
        <w:rPr>
          <w:rFonts w:ascii="Bookman Old Style" w:hAnsi="Bookman Old Style"/>
          <w:bCs w:val="0"/>
          <w:w w:val="95"/>
          <w:sz w:val="20"/>
          <w:szCs w:val="20"/>
        </w:rPr>
        <w:t>Ketua</w:t>
      </w:r>
      <w:proofErr w:type="spellEnd"/>
    </w:p>
    <w:p w:rsidR="009A66C4" w:rsidRDefault="006E350B" w:rsidP="00B06C1E">
      <w:pPr>
        <w:pStyle w:val="Subtitle"/>
        <w:tabs>
          <w:tab w:val="left" w:pos="1800"/>
        </w:tabs>
        <w:ind w:left="5670"/>
        <w:jc w:val="both"/>
        <w:rPr>
          <w:rFonts w:ascii="Bookman Old Style" w:hAnsi="Bookman Old Style"/>
          <w:b w:val="0"/>
          <w:w w:val="95"/>
          <w:sz w:val="20"/>
          <w:szCs w:val="20"/>
          <w:lang w:val="fi-FI"/>
        </w:rPr>
      </w:pPr>
      <w:r>
        <w:rPr>
          <w:rFonts w:ascii="Bookman Old Style" w:hAnsi="Bookman Old Style"/>
          <w:b w:val="0"/>
          <w:iCs/>
          <w:w w:val="95"/>
          <w:sz w:val="20"/>
          <w:szCs w:val="20"/>
          <w:lang w:val="fi-FI"/>
        </w:rPr>
        <w:tab/>
      </w:r>
    </w:p>
    <w:p w:rsidR="009A66C4" w:rsidRDefault="009A66C4" w:rsidP="00B06C1E">
      <w:pPr>
        <w:ind w:left="5670"/>
        <w:jc w:val="both"/>
        <w:rPr>
          <w:rFonts w:ascii="Bookman Old Style" w:hAnsi="Bookman Old Style"/>
          <w:bCs/>
          <w:w w:val="95"/>
          <w:sz w:val="20"/>
          <w:szCs w:val="20"/>
          <w:lang w:val="fi-FI"/>
        </w:rPr>
      </w:pPr>
    </w:p>
    <w:p w:rsidR="009A66C4" w:rsidRDefault="009A66C4" w:rsidP="00B06C1E">
      <w:pPr>
        <w:ind w:left="5670"/>
        <w:jc w:val="both"/>
        <w:rPr>
          <w:rFonts w:ascii="Bookman Old Style" w:hAnsi="Bookman Old Style"/>
          <w:bCs/>
          <w:w w:val="95"/>
          <w:sz w:val="20"/>
          <w:szCs w:val="20"/>
          <w:lang w:val="fi-FI"/>
        </w:rPr>
      </w:pPr>
    </w:p>
    <w:p w:rsidR="009A66C4" w:rsidRDefault="009A66C4" w:rsidP="00B06C1E">
      <w:pPr>
        <w:ind w:left="5670"/>
        <w:jc w:val="both"/>
        <w:rPr>
          <w:rFonts w:ascii="Bookman Old Style" w:hAnsi="Bookman Old Style"/>
          <w:b/>
          <w:bCs/>
          <w:w w:val="95"/>
          <w:sz w:val="20"/>
          <w:szCs w:val="20"/>
          <w:lang w:val="id-ID"/>
        </w:rPr>
      </w:pPr>
    </w:p>
    <w:p w:rsidR="009A66C4" w:rsidRDefault="009A66C4" w:rsidP="00B06C1E">
      <w:pPr>
        <w:ind w:left="5670"/>
        <w:jc w:val="both"/>
        <w:rPr>
          <w:rFonts w:ascii="Bookman Old Style" w:hAnsi="Bookman Old Style"/>
          <w:b/>
          <w:bCs/>
          <w:w w:val="95"/>
          <w:sz w:val="20"/>
          <w:szCs w:val="20"/>
          <w:lang w:val="fi-FI"/>
        </w:rPr>
      </w:pPr>
    </w:p>
    <w:p w:rsidR="009A66C4" w:rsidRDefault="006E350B" w:rsidP="00B06C1E">
      <w:pPr>
        <w:pStyle w:val="NoSpacing"/>
        <w:tabs>
          <w:tab w:val="left" w:pos="567"/>
        </w:tabs>
        <w:spacing w:line="276" w:lineRule="auto"/>
        <w:ind w:left="5670"/>
        <w:rPr>
          <w:rFonts w:ascii="Bookman Old Style" w:hAnsi="Bookman Old Style"/>
          <w:b/>
          <w:bCs/>
          <w:w w:val="95"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w w:val="95"/>
          <w:sz w:val="20"/>
          <w:szCs w:val="20"/>
        </w:rPr>
        <w:t>Drs. H</w:t>
      </w:r>
      <w:r>
        <w:rPr>
          <w:rFonts w:ascii="Bookman Old Style" w:hAnsi="Bookman Old Style"/>
          <w:b/>
          <w:bCs/>
          <w:w w:val="95"/>
          <w:sz w:val="20"/>
          <w:szCs w:val="20"/>
          <w:lang w:val="id-ID"/>
        </w:rPr>
        <w:t>.</w:t>
      </w:r>
      <w:r>
        <w:rPr>
          <w:rFonts w:ascii="Bookman Old Style" w:hAnsi="Bookman Old Style"/>
          <w:b/>
          <w:bCs/>
          <w:w w:val="95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w w:val="95"/>
          <w:sz w:val="20"/>
          <w:szCs w:val="20"/>
        </w:rPr>
        <w:t>Zein</w:t>
      </w:r>
      <w:proofErr w:type="spellEnd"/>
      <w:r>
        <w:rPr>
          <w:rFonts w:ascii="Bookman Old Style" w:hAnsi="Bookman Old Style"/>
          <w:b/>
          <w:bCs/>
          <w:w w:val="95"/>
          <w:sz w:val="20"/>
          <w:szCs w:val="20"/>
        </w:rPr>
        <w:t xml:space="preserve"> Ahsan, M.H</w:t>
      </w:r>
      <w:r>
        <w:rPr>
          <w:rFonts w:ascii="Bookman Old Style" w:hAnsi="Bookman Old Style"/>
          <w:b/>
          <w:bCs/>
          <w:w w:val="95"/>
          <w:sz w:val="20"/>
          <w:szCs w:val="20"/>
          <w:lang w:val="id-ID"/>
        </w:rPr>
        <w:t>.</w:t>
      </w:r>
    </w:p>
    <w:p w:rsidR="009A66C4" w:rsidRDefault="009A66C4">
      <w:pPr>
        <w:pStyle w:val="NoSpacing"/>
        <w:tabs>
          <w:tab w:val="left" w:pos="567"/>
        </w:tabs>
        <w:ind w:left="4253"/>
        <w:rPr>
          <w:rFonts w:ascii="Bookman Old Style" w:hAnsi="Bookman Old Style"/>
          <w:b/>
          <w:bCs/>
          <w:w w:val="95"/>
          <w:sz w:val="20"/>
          <w:szCs w:val="20"/>
        </w:rPr>
      </w:pPr>
    </w:p>
    <w:p w:rsidR="009A66C4" w:rsidRDefault="009A66C4">
      <w:pPr>
        <w:pStyle w:val="NoSpacing"/>
        <w:tabs>
          <w:tab w:val="left" w:pos="567"/>
        </w:tabs>
        <w:ind w:left="4253"/>
        <w:rPr>
          <w:rFonts w:ascii="Bookman Old Style" w:hAnsi="Bookman Old Style"/>
          <w:b/>
          <w:bCs/>
          <w:w w:val="95"/>
          <w:sz w:val="20"/>
          <w:szCs w:val="20"/>
          <w:lang w:val="id-ID"/>
        </w:rPr>
      </w:pPr>
    </w:p>
    <w:sectPr w:rsidR="009A66C4">
      <w:pgSz w:w="11906" w:h="16838"/>
      <w:pgMar w:top="851" w:right="1440" w:bottom="5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0B" w:rsidRDefault="006E350B">
      <w:r>
        <w:separator/>
      </w:r>
    </w:p>
  </w:endnote>
  <w:endnote w:type="continuationSeparator" w:id="0">
    <w:p w:rsidR="006E350B" w:rsidRDefault="006E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0B" w:rsidRDefault="006E350B">
      <w:r>
        <w:separator/>
      </w:r>
    </w:p>
  </w:footnote>
  <w:footnote w:type="continuationSeparator" w:id="0">
    <w:p w:rsidR="006E350B" w:rsidRDefault="006E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3DDF"/>
    <w:multiLevelType w:val="multilevel"/>
    <w:tmpl w:val="5CDC3DDF"/>
    <w:lvl w:ilvl="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6E0D3699"/>
    <w:multiLevelType w:val="hybridMultilevel"/>
    <w:tmpl w:val="91CA5A16"/>
    <w:lvl w:ilvl="0" w:tplc="3809000F">
      <w:start w:val="1"/>
      <w:numFmt w:val="decimal"/>
      <w:lvlText w:val="%1."/>
      <w:lvlJc w:val="left"/>
      <w:pPr>
        <w:ind w:left="1710" w:hanging="360"/>
      </w:p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751A4926"/>
    <w:multiLevelType w:val="multilevel"/>
    <w:tmpl w:val="751A4926"/>
    <w:lvl w:ilvl="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89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E"/>
    <w:rsid w:val="00003B49"/>
    <w:rsid w:val="00010C31"/>
    <w:rsid w:val="000120AF"/>
    <w:rsid w:val="0001372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53F6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913F4"/>
    <w:rsid w:val="006A1B07"/>
    <w:rsid w:val="006A3081"/>
    <w:rsid w:val="006B0860"/>
    <w:rsid w:val="006B3CE8"/>
    <w:rsid w:val="006B626C"/>
    <w:rsid w:val="006C0D41"/>
    <w:rsid w:val="006C5B97"/>
    <w:rsid w:val="006E0E38"/>
    <w:rsid w:val="006E13C4"/>
    <w:rsid w:val="006E350B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A04A1"/>
    <w:rsid w:val="007A3B8D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3588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41D1"/>
    <w:rsid w:val="009A11ED"/>
    <w:rsid w:val="009A2F88"/>
    <w:rsid w:val="009A66C4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66383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AF2E66"/>
    <w:rsid w:val="00B06C1E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5A3B"/>
    <w:rsid w:val="00CB700D"/>
    <w:rsid w:val="00CC096C"/>
    <w:rsid w:val="00CC2535"/>
    <w:rsid w:val="00CD2A5C"/>
    <w:rsid w:val="00CE05EC"/>
    <w:rsid w:val="00CE1D75"/>
    <w:rsid w:val="00CE43FD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47C40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57FCC"/>
    <w:rsid w:val="00E6061B"/>
    <w:rsid w:val="00E6389E"/>
    <w:rsid w:val="00E72B98"/>
    <w:rsid w:val="00E939C0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5066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39A6E1"/>
  <w15:docId w15:val="{DD39B897-81CB-4708-B2C3-007322A8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1387D-5611-4655-869B-2DB5F6D4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2021-05-21T01:59:00Z</cp:lastPrinted>
  <dcterms:created xsi:type="dcterms:W3CDTF">2022-03-31T08:07:00Z</dcterms:created>
  <dcterms:modified xsi:type="dcterms:W3CDTF">2022-03-31T08:42:00Z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1033-11.2.0.10132</vt:lpwstr>
  </property>
</Properties>
</file>