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6C564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01B53FF2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 w:rsidR="001F7043" w:rsidRPr="001F7043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D2517F">
        <w:rPr>
          <w:rFonts w:ascii="Arial" w:hAnsi="Arial" w:cs="Arial"/>
          <w:sz w:val="22"/>
          <w:szCs w:val="22"/>
        </w:rPr>
        <w:t>OT.00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F7043">
        <w:rPr>
          <w:rFonts w:ascii="Arial" w:hAnsi="Arial" w:cs="Arial"/>
          <w:sz w:val="22"/>
          <w:szCs w:val="22"/>
        </w:rPr>
        <w:t>IV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2C03F7">
        <w:rPr>
          <w:rFonts w:ascii="Arial" w:hAnsi="Arial" w:cs="Arial"/>
          <w:sz w:val="22"/>
          <w:szCs w:val="22"/>
        </w:rPr>
        <w:t>3</w:t>
      </w:r>
      <w:r w:rsidR="00D2517F">
        <w:rPr>
          <w:rFonts w:ascii="Arial" w:hAnsi="Arial" w:cs="Arial"/>
          <w:sz w:val="22"/>
          <w:szCs w:val="22"/>
        </w:rPr>
        <w:t xml:space="preserve"> </w:t>
      </w:r>
      <w:r w:rsidR="001F7043">
        <w:rPr>
          <w:rFonts w:ascii="Arial" w:hAnsi="Arial" w:cs="Arial"/>
          <w:sz w:val="22"/>
          <w:szCs w:val="22"/>
        </w:rPr>
        <w:t>April</w:t>
      </w:r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4E279547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1F7043">
        <w:rPr>
          <w:rFonts w:ascii="Arial" w:hAnsi="Arial" w:cs="Arial"/>
          <w:sz w:val="22"/>
          <w:szCs w:val="22"/>
        </w:rPr>
        <w:t>1 (</w:t>
      </w:r>
      <w:proofErr w:type="spellStart"/>
      <w:r w:rsidR="001F7043">
        <w:rPr>
          <w:rFonts w:ascii="Arial" w:hAnsi="Arial" w:cs="Arial"/>
          <w:sz w:val="22"/>
          <w:szCs w:val="22"/>
        </w:rPr>
        <w:t>satu</w:t>
      </w:r>
      <w:proofErr w:type="spellEnd"/>
      <w:r w:rsidR="001F7043">
        <w:rPr>
          <w:rFonts w:ascii="Arial" w:hAnsi="Arial" w:cs="Arial"/>
          <w:sz w:val="22"/>
          <w:szCs w:val="22"/>
        </w:rPr>
        <w:t>) daftar</w:t>
      </w:r>
    </w:p>
    <w:p w14:paraId="551C26EA" w14:textId="77777777" w:rsidR="001F7043" w:rsidRPr="001F7043" w:rsidRDefault="006D1AA7" w:rsidP="001F704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Pemanggilan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Peserta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</w:t>
      </w:r>
    </w:p>
    <w:p w14:paraId="0BCD520B" w14:textId="6AA81719" w:rsidR="004D7E6E" w:rsidRDefault="001F7043" w:rsidP="001F704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1F7043">
        <w:rPr>
          <w:rFonts w:ascii="Arial" w:hAnsi="Arial" w:cs="Arial"/>
          <w:sz w:val="22"/>
          <w:szCs w:val="22"/>
        </w:rPr>
        <w:tab/>
      </w:r>
      <w:r w:rsidRPr="001F704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Bimbingan</w:t>
      </w:r>
      <w:proofErr w:type="spellEnd"/>
      <w:r>
        <w:rPr>
          <w:rFonts w:ascii="Arial" w:hAnsi="Arial" w:cs="Arial"/>
          <w:sz w:val="22"/>
          <w:szCs w:val="22"/>
        </w:rPr>
        <w:t xml:space="preserve"> Teknis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Yudisial</w:t>
      </w:r>
      <w:proofErr w:type="spellEnd"/>
    </w:p>
    <w:p w14:paraId="60B33E05" w14:textId="624735D4" w:rsidR="00E90A39" w:rsidRDefault="004D7E6E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CA06D" w14:textId="703B4EA9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4E47EEA0" w14:textId="6CA9A414" w:rsidR="00E90A39" w:rsidRPr="00E90A39" w:rsidRDefault="00E90A39" w:rsidP="003871D5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rangka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tugas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85051">
        <w:rPr>
          <w:rFonts w:ascii="Arial" w:hAnsi="Arial" w:cs="Arial"/>
          <w:sz w:val="22"/>
          <w:szCs w:val="22"/>
        </w:rPr>
        <w:t>lingkungan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Pengadilan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Tinggi Agama Padang</w:t>
      </w:r>
      <w:r w:rsidR="004D7E6E"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A85051">
        <w:rPr>
          <w:rFonts w:ascii="Arial" w:hAnsi="Arial" w:cs="Arial"/>
          <w:sz w:val="22"/>
          <w:szCs w:val="22"/>
        </w:rPr>
        <w:t>akan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 w:rsidR="00210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Bimbingan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1F7043">
        <w:rPr>
          <w:rFonts w:ascii="Arial" w:hAnsi="Arial" w:cs="Arial"/>
          <w:sz w:val="22"/>
          <w:szCs w:val="22"/>
        </w:rPr>
        <w:t>Administrasi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Yudusial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r w:rsidR="004D7E6E" w:rsidRPr="004D7E6E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lingkungan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</w:t>
      </w:r>
      <w:r w:rsidR="00A8505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5051">
        <w:rPr>
          <w:rFonts w:ascii="Arial" w:hAnsi="Arial" w:cs="Arial"/>
          <w:sz w:val="22"/>
          <w:szCs w:val="22"/>
        </w:rPr>
        <w:t>Sehubungan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dengan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hal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tersebut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85051">
        <w:rPr>
          <w:rFonts w:ascii="Arial" w:hAnsi="Arial" w:cs="Arial"/>
          <w:sz w:val="22"/>
          <w:szCs w:val="22"/>
        </w:rPr>
        <w:t>undang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Saudara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dan</w:t>
      </w:r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Panitera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beserta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Petugas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Layanan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Pos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Bantuan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Hukum</w:t>
      </w:r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dengan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ketentuan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sebagai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berikut</w:t>
      </w:r>
      <w:proofErr w:type="spellEnd"/>
      <w:r w:rsidRPr="00E90A39">
        <w:rPr>
          <w:rFonts w:ascii="Arial" w:hAnsi="Arial" w:cs="Arial"/>
          <w:sz w:val="22"/>
          <w:szCs w:val="22"/>
        </w:rPr>
        <w:t>:</w:t>
      </w:r>
    </w:p>
    <w:p w14:paraId="389A50EF" w14:textId="53DBE4DD" w:rsidR="00E90A39" w:rsidRPr="00F26C89" w:rsidRDefault="00E90A39" w:rsidP="00F26C89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3847C848" w14:textId="20BD8A64" w:rsid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133DFFD9" w14:textId="143B1DFD" w:rsidR="00DE6676" w:rsidRPr="00DE6676" w:rsidRDefault="001F7043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DE6676" w:rsidRPr="00DE6676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="00DE6676" w:rsidRPr="00DE6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DE6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="00203192">
        <w:rPr>
          <w:rFonts w:ascii="Arial" w:hAnsi="Arial" w:cs="Arial"/>
          <w:sz w:val="22"/>
          <w:szCs w:val="22"/>
        </w:rPr>
        <w:t xml:space="preserve"> 2023</w:t>
      </w:r>
    </w:p>
    <w:p w14:paraId="4E72D280" w14:textId="6DB97F8B" w:rsidR="00E80D6D" w:rsidRPr="00DE6676" w:rsidRDefault="00DE6676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DE6676">
        <w:rPr>
          <w:rFonts w:ascii="Arial" w:hAnsi="Arial" w:cs="Arial"/>
          <w:sz w:val="22"/>
          <w:szCs w:val="22"/>
        </w:rPr>
        <w:t>Pukul</w:t>
      </w:r>
      <w:proofErr w:type="spellEnd"/>
      <w:r w:rsidRPr="00DE6676">
        <w:rPr>
          <w:rFonts w:ascii="Arial" w:hAnsi="Arial" w:cs="Arial"/>
          <w:sz w:val="22"/>
          <w:szCs w:val="22"/>
        </w:rPr>
        <w:tab/>
        <w:t>:</w:t>
      </w:r>
      <w:r w:rsidR="001F7043">
        <w:rPr>
          <w:rFonts w:ascii="Arial" w:hAnsi="Arial" w:cs="Arial"/>
          <w:sz w:val="22"/>
          <w:szCs w:val="22"/>
        </w:rPr>
        <w:tab/>
        <w:t>09.00</w:t>
      </w:r>
      <w:r w:rsidR="002031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3192">
        <w:rPr>
          <w:rFonts w:ascii="Arial" w:hAnsi="Arial" w:cs="Arial"/>
          <w:sz w:val="22"/>
          <w:szCs w:val="22"/>
        </w:rPr>
        <w:t>s.d.</w:t>
      </w:r>
      <w:proofErr w:type="spellEnd"/>
      <w:r w:rsidR="00203192">
        <w:rPr>
          <w:rFonts w:ascii="Arial" w:hAnsi="Arial" w:cs="Arial"/>
          <w:sz w:val="22"/>
          <w:szCs w:val="22"/>
        </w:rPr>
        <w:t xml:space="preserve"> </w:t>
      </w:r>
      <w:r w:rsidRPr="00DE6676">
        <w:rPr>
          <w:rFonts w:ascii="Arial" w:hAnsi="Arial" w:cs="Arial"/>
          <w:sz w:val="22"/>
          <w:szCs w:val="22"/>
        </w:rPr>
        <w:t>1</w:t>
      </w:r>
      <w:r w:rsidR="001F7043">
        <w:rPr>
          <w:rFonts w:ascii="Arial" w:hAnsi="Arial" w:cs="Arial"/>
          <w:sz w:val="22"/>
          <w:szCs w:val="22"/>
        </w:rPr>
        <w:t>8</w:t>
      </w:r>
      <w:r w:rsidRPr="00DE6676">
        <w:rPr>
          <w:rFonts w:ascii="Arial" w:hAnsi="Arial" w:cs="Arial"/>
          <w:sz w:val="22"/>
          <w:szCs w:val="22"/>
        </w:rPr>
        <w:t>.00 WIB</w:t>
      </w:r>
      <w:r w:rsidR="001F7043">
        <w:rPr>
          <w:rFonts w:ascii="Arial" w:hAnsi="Arial" w:cs="Arial"/>
          <w:sz w:val="22"/>
          <w:szCs w:val="22"/>
        </w:rPr>
        <w:t xml:space="preserve"> </w:t>
      </w:r>
      <w:r w:rsidR="00E80D6D">
        <w:rPr>
          <w:rFonts w:ascii="Arial" w:hAnsi="Arial" w:cs="Arial"/>
          <w:sz w:val="22"/>
          <w:szCs w:val="22"/>
        </w:rPr>
        <w:t>(</w:t>
      </w:r>
      <w:proofErr w:type="spellStart"/>
      <w:r w:rsidR="001F7043">
        <w:rPr>
          <w:rFonts w:ascii="Arial" w:hAnsi="Arial" w:cs="Arial"/>
          <w:sz w:val="22"/>
          <w:szCs w:val="22"/>
        </w:rPr>
        <w:t>jadwal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terlampir</w:t>
      </w:r>
      <w:proofErr w:type="spellEnd"/>
      <w:r w:rsidR="00E80D6D">
        <w:rPr>
          <w:rFonts w:ascii="Arial" w:hAnsi="Arial" w:cs="Arial"/>
          <w:sz w:val="22"/>
          <w:szCs w:val="22"/>
        </w:rPr>
        <w:t>)</w:t>
      </w:r>
    </w:p>
    <w:p w14:paraId="393CF059" w14:textId="5AA1E82F" w:rsidR="007A0CFC" w:rsidRDefault="00E90A39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F7043" w:rsidRPr="001F7043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Pangeran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City,</w:t>
      </w:r>
      <w:r w:rsidR="001F7043">
        <w:rPr>
          <w:rFonts w:ascii="Arial" w:hAnsi="Arial" w:cs="Arial"/>
          <w:sz w:val="22"/>
          <w:szCs w:val="22"/>
        </w:rPr>
        <w:t xml:space="preserve"> </w:t>
      </w:r>
      <w:r w:rsidR="001F7043" w:rsidRPr="001F7043">
        <w:rPr>
          <w:rFonts w:ascii="Arial" w:hAnsi="Arial" w:cs="Arial"/>
          <w:sz w:val="22"/>
          <w:szCs w:val="22"/>
        </w:rPr>
        <w:t xml:space="preserve">Jl.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Dobi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No.3</w:t>
      </w:r>
      <w:r w:rsidR="001F7043">
        <w:rPr>
          <w:rFonts w:ascii="Arial" w:hAnsi="Arial" w:cs="Arial"/>
          <w:sz w:val="22"/>
          <w:szCs w:val="22"/>
        </w:rPr>
        <w:t>, Padang</w:t>
      </w:r>
    </w:p>
    <w:p w14:paraId="41706BB7" w14:textId="18B3D63F" w:rsidR="00E90A39" w:rsidRDefault="00E90A39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proofErr w:type="spellStart"/>
      <w:r w:rsidR="00E15CA5">
        <w:rPr>
          <w:rFonts w:ascii="Arial" w:hAnsi="Arial" w:cs="Arial"/>
          <w:sz w:val="22"/>
          <w:szCs w:val="22"/>
        </w:rPr>
        <w:t>Pakaian</w:t>
      </w:r>
      <w:proofErr w:type="spellEnd"/>
      <w:r w:rsidR="00E15CA5">
        <w:rPr>
          <w:rFonts w:ascii="Arial" w:hAnsi="Arial" w:cs="Arial"/>
          <w:sz w:val="22"/>
          <w:szCs w:val="22"/>
        </w:rPr>
        <w:t xml:space="preserve"> </w:t>
      </w:r>
      <w:r w:rsidR="00797251">
        <w:rPr>
          <w:rFonts w:ascii="Arial" w:hAnsi="Arial" w:cs="Arial"/>
          <w:sz w:val="22"/>
          <w:szCs w:val="22"/>
        </w:rPr>
        <w:t>Batik</w:t>
      </w:r>
    </w:p>
    <w:p w14:paraId="1C856BA6" w14:textId="77777777" w:rsidR="00F26C89" w:rsidRPr="00F26C89" w:rsidRDefault="00F26C8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A988FE9" w14:textId="77777777" w:rsidR="00F95D62" w:rsidRPr="00F95D62" w:rsidRDefault="00F95D62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14099A00" w14:textId="2BBAE696" w:rsidR="00F95D62" w:rsidRDefault="0011165C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Melakukan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 w:rsidRPr="00F95D62">
        <w:rPr>
          <w:rFonts w:ascii="Arial" w:hAnsi="Arial" w:cs="Arial"/>
          <w:sz w:val="22"/>
          <w:szCs w:val="22"/>
        </w:rPr>
        <w:t>registrasi</w:t>
      </w:r>
      <w:proofErr w:type="spellEnd"/>
      <w:r w:rsidR="001F7043" w:rsidRPr="00F95D62">
        <w:rPr>
          <w:rFonts w:ascii="Arial" w:hAnsi="Arial" w:cs="Arial"/>
          <w:sz w:val="22"/>
          <w:szCs w:val="22"/>
        </w:rPr>
        <w:t xml:space="preserve"> online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melalui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link </w:t>
      </w:r>
      <w:r w:rsidR="007A0CFC" w:rsidRPr="007A0CFC">
        <w:rPr>
          <w:rFonts w:ascii="Arial" w:hAnsi="Arial" w:cs="Arial"/>
          <w:color w:val="365F91" w:themeColor="accent1" w:themeShade="BF"/>
          <w:sz w:val="22"/>
          <w:szCs w:val="22"/>
        </w:rPr>
        <w:t>https://s.id/</w:t>
      </w:r>
      <w:r w:rsidR="001F7043">
        <w:rPr>
          <w:rFonts w:ascii="Arial" w:hAnsi="Arial" w:cs="Arial"/>
          <w:color w:val="365F91" w:themeColor="accent1" w:themeShade="BF"/>
          <w:sz w:val="22"/>
          <w:szCs w:val="22"/>
        </w:rPr>
        <w:t>Bimtek10April</w:t>
      </w:r>
      <w:r w:rsidR="00DD325B">
        <w:rPr>
          <w:rFonts w:ascii="Arial" w:hAnsi="Arial" w:cs="Arial"/>
          <w:color w:val="365F91" w:themeColor="accent1" w:themeShade="BF"/>
          <w:sz w:val="22"/>
          <w:szCs w:val="22"/>
        </w:rPr>
        <w:t>2023</w:t>
      </w:r>
      <w:r w:rsidR="001A2F61" w:rsidRPr="00B46BF8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F95D62" w:rsidRPr="00F95D62">
        <w:rPr>
          <w:rFonts w:ascii="Arial" w:hAnsi="Arial" w:cs="Arial"/>
          <w:sz w:val="22"/>
          <w:szCs w:val="22"/>
        </w:rPr>
        <w:t xml:space="preserve">paling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lambat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5D62" w:rsidRPr="00F95D62">
        <w:rPr>
          <w:rFonts w:ascii="Arial" w:hAnsi="Arial" w:cs="Arial"/>
          <w:sz w:val="22"/>
          <w:szCs w:val="22"/>
        </w:rPr>
        <w:t>tanggal</w:t>
      </w:r>
      <w:proofErr w:type="spellEnd"/>
      <w:r w:rsidR="00F95D62" w:rsidRPr="00F95D62">
        <w:rPr>
          <w:rFonts w:ascii="Arial" w:hAnsi="Arial" w:cs="Arial"/>
          <w:sz w:val="22"/>
          <w:szCs w:val="22"/>
        </w:rPr>
        <w:t xml:space="preserve"> </w:t>
      </w:r>
      <w:r w:rsidR="001F7043">
        <w:rPr>
          <w:rFonts w:ascii="Arial" w:hAnsi="Arial" w:cs="Arial"/>
          <w:sz w:val="22"/>
          <w:szCs w:val="22"/>
        </w:rPr>
        <w:br/>
        <w:t>5</w:t>
      </w:r>
      <w:r w:rsidR="007A0CFC">
        <w:rPr>
          <w:rFonts w:ascii="Arial" w:hAnsi="Arial" w:cs="Arial"/>
          <w:sz w:val="22"/>
          <w:szCs w:val="22"/>
        </w:rPr>
        <w:t xml:space="preserve"> </w:t>
      </w:r>
      <w:r w:rsidR="001F7043">
        <w:rPr>
          <w:rFonts w:ascii="Arial" w:hAnsi="Arial" w:cs="Arial"/>
          <w:sz w:val="22"/>
          <w:szCs w:val="22"/>
        </w:rPr>
        <w:t xml:space="preserve">April </w:t>
      </w:r>
      <w:r w:rsidR="00F95D62" w:rsidRPr="00F95D62">
        <w:rPr>
          <w:rFonts w:ascii="Arial" w:hAnsi="Arial" w:cs="Arial"/>
          <w:sz w:val="22"/>
          <w:szCs w:val="22"/>
        </w:rPr>
        <w:t>202</w:t>
      </w:r>
      <w:r w:rsidR="007A0CFC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7A0CFC">
        <w:rPr>
          <w:rFonts w:ascii="Arial" w:hAnsi="Arial" w:cs="Arial"/>
          <w:sz w:val="22"/>
          <w:szCs w:val="22"/>
        </w:rPr>
        <w:t>pukul</w:t>
      </w:r>
      <w:proofErr w:type="spellEnd"/>
      <w:r w:rsidR="007A0CFC">
        <w:rPr>
          <w:rFonts w:ascii="Arial" w:hAnsi="Arial" w:cs="Arial"/>
          <w:sz w:val="22"/>
          <w:szCs w:val="22"/>
        </w:rPr>
        <w:t xml:space="preserve"> 1</w:t>
      </w:r>
      <w:r w:rsidR="001F7043">
        <w:rPr>
          <w:rFonts w:ascii="Arial" w:hAnsi="Arial" w:cs="Arial"/>
          <w:sz w:val="22"/>
          <w:szCs w:val="22"/>
        </w:rPr>
        <w:t>2</w:t>
      </w:r>
      <w:r w:rsidR="007A0CFC">
        <w:rPr>
          <w:rFonts w:ascii="Arial" w:hAnsi="Arial" w:cs="Arial"/>
          <w:sz w:val="22"/>
          <w:szCs w:val="22"/>
        </w:rPr>
        <w:t>.00 WIB.</w:t>
      </w:r>
    </w:p>
    <w:p w14:paraId="2A6DB972" w14:textId="77777777" w:rsidR="00F95D62" w:rsidRPr="00F95D62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"/>
          <w:szCs w:val="2"/>
        </w:rPr>
      </w:pPr>
    </w:p>
    <w:p w14:paraId="444A1F2B" w14:textId="6923D11D" w:rsidR="00055F3E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55F3E">
        <w:rPr>
          <w:rFonts w:ascii="Arial" w:hAnsi="Arial" w:cs="Arial"/>
          <w:sz w:val="22"/>
          <w:szCs w:val="22"/>
        </w:rPr>
        <w:tab/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Biaya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F3E">
        <w:rPr>
          <w:rFonts w:ascii="Arial" w:hAnsi="Arial" w:cs="Arial"/>
          <w:sz w:val="22"/>
          <w:szCs w:val="22"/>
        </w:rPr>
        <w:t>paket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meeting </w:t>
      </w:r>
      <w:proofErr w:type="spellStart"/>
      <w:r w:rsidR="00055F3E">
        <w:rPr>
          <w:rFonts w:ascii="Arial" w:hAnsi="Arial" w:cs="Arial"/>
          <w:sz w:val="22"/>
          <w:szCs w:val="22"/>
        </w:rPr>
        <w:t>halfday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F3E">
        <w:rPr>
          <w:rFonts w:ascii="Arial" w:hAnsi="Arial" w:cs="Arial"/>
          <w:sz w:val="22"/>
          <w:szCs w:val="22"/>
        </w:rPr>
        <w:t>dibebankan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pada DIPA </w:t>
      </w:r>
      <w:proofErr w:type="spellStart"/>
      <w:r w:rsidR="00055F3E">
        <w:rPr>
          <w:rFonts w:ascii="Arial" w:hAnsi="Arial" w:cs="Arial"/>
          <w:sz w:val="22"/>
          <w:szCs w:val="22"/>
        </w:rPr>
        <w:t>Pengadilan</w:t>
      </w:r>
      <w:proofErr w:type="spellEnd"/>
      <w:r w:rsidR="00055F3E">
        <w:rPr>
          <w:rFonts w:ascii="Arial" w:hAnsi="Arial" w:cs="Arial"/>
          <w:sz w:val="22"/>
          <w:szCs w:val="22"/>
        </w:rPr>
        <w:t xml:space="preserve"> Tinggi Agama Padang;</w:t>
      </w:r>
    </w:p>
    <w:p w14:paraId="10E1338F" w14:textId="6656EF79" w:rsidR="00E90A39" w:rsidRPr="00E90A39" w:rsidRDefault="00055F3E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dinas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A39" w:rsidRPr="00E90A39">
        <w:rPr>
          <w:rFonts w:ascii="Arial" w:hAnsi="Arial" w:cs="Arial"/>
          <w:sz w:val="22"/>
          <w:szCs w:val="22"/>
        </w:rPr>
        <w:t>kepada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 xml:space="preserve"> </w:t>
      </w:r>
      <w:r w:rsidR="00BB11DC">
        <w:rPr>
          <w:rFonts w:ascii="Arial" w:hAnsi="Arial" w:cs="Arial"/>
          <w:sz w:val="22"/>
          <w:szCs w:val="22"/>
        </w:rPr>
        <w:t xml:space="preserve">DIPA masing-masing </w:t>
      </w:r>
      <w:proofErr w:type="spellStart"/>
      <w:r w:rsidR="00BB11DC">
        <w:rPr>
          <w:rFonts w:ascii="Arial" w:hAnsi="Arial" w:cs="Arial"/>
          <w:sz w:val="22"/>
          <w:szCs w:val="22"/>
        </w:rPr>
        <w:t>satuan</w:t>
      </w:r>
      <w:proofErr w:type="spellEnd"/>
      <w:r w:rsidR="00BB1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1DC"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sedangkan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43">
        <w:rPr>
          <w:rFonts w:ascii="Arial" w:hAnsi="Arial" w:cs="Arial"/>
          <w:sz w:val="22"/>
          <w:szCs w:val="22"/>
        </w:rPr>
        <w:t>Petugas</w:t>
      </w:r>
      <w:proofErr w:type="spellEnd"/>
      <w:r w:rsidRP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7043">
        <w:rPr>
          <w:rFonts w:ascii="Arial" w:hAnsi="Arial" w:cs="Arial"/>
          <w:sz w:val="22"/>
          <w:szCs w:val="22"/>
        </w:rPr>
        <w:t>Layanan</w:t>
      </w:r>
      <w:proofErr w:type="spellEnd"/>
      <w:r w:rsidRPr="001F7043">
        <w:rPr>
          <w:rFonts w:ascii="Arial" w:hAnsi="Arial" w:cs="Arial"/>
          <w:sz w:val="22"/>
          <w:szCs w:val="22"/>
        </w:rPr>
        <w:t xml:space="preserve"> Pos </w:t>
      </w:r>
      <w:proofErr w:type="spellStart"/>
      <w:r w:rsidRPr="001F7043">
        <w:rPr>
          <w:rFonts w:ascii="Arial" w:hAnsi="Arial" w:cs="Arial"/>
          <w:sz w:val="22"/>
          <w:szCs w:val="22"/>
        </w:rPr>
        <w:t>Bantuan</w:t>
      </w:r>
      <w:proofErr w:type="spellEnd"/>
      <w:r w:rsidRPr="001F7043">
        <w:rPr>
          <w:rFonts w:ascii="Arial" w:hAnsi="Arial" w:cs="Arial"/>
          <w:sz w:val="22"/>
          <w:szCs w:val="22"/>
        </w:rPr>
        <w:t xml:space="preserve"> Hukum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dibebankan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Penyedia</w:t>
      </w:r>
      <w:proofErr w:type="spellEnd"/>
      <w:r>
        <w:rPr>
          <w:rFonts w:ascii="Arial" w:hAnsi="Arial" w:cs="Arial"/>
          <w:sz w:val="22"/>
          <w:szCs w:val="22"/>
        </w:rPr>
        <w:t xml:space="preserve"> Jasa </w:t>
      </w:r>
      <w:proofErr w:type="spellStart"/>
      <w:r>
        <w:rPr>
          <w:rFonts w:ascii="Arial" w:hAnsi="Arial" w:cs="Arial"/>
          <w:sz w:val="22"/>
          <w:szCs w:val="22"/>
        </w:rPr>
        <w:t>Layanan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Hukum</w:t>
      </w:r>
      <w:r w:rsidR="00BB11DC">
        <w:rPr>
          <w:rFonts w:ascii="Arial" w:hAnsi="Arial" w:cs="Arial"/>
          <w:sz w:val="22"/>
          <w:szCs w:val="22"/>
        </w:rPr>
        <w:t>.</w:t>
      </w:r>
    </w:p>
    <w:p w14:paraId="2A83B3E4" w14:textId="77777777" w:rsidR="00E90A39" w:rsidRPr="00F26C89" w:rsidRDefault="00E90A39" w:rsidP="00B7457D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2C03F7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0418AF9F" w14:textId="20C97A99" w:rsidR="00B7457D" w:rsidRPr="00B7457D" w:rsidRDefault="00B7457D" w:rsidP="002C03F7">
      <w:pPr>
        <w:ind w:left="6521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  <w:proofErr w:type="spellEnd"/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475C58E9" w:rsidR="00AC4EFC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CCBBDFC" w14:textId="3652B639" w:rsidR="00210D3B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6C1C1A09" w14:textId="78739CA2" w:rsidR="002C03F7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064CFD19" w14:textId="77777777" w:rsidR="002C03F7" w:rsidRDefault="002C0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966081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lastRenderedPageBreak/>
        <w:t xml:space="preserve">Lampiran Surat </w:t>
      </w:r>
      <w:proofErr w:type="spellStart"/>
      <w:r w:rsidRPr="002C03F7">
        <w:rPr>
          <w:rFonts w:ascii="Arial" w:hAnsi="Arial" w:cs="Arial"/>
          <w:sz w:val="22"/>
          <w:szCs w:val="22"/>
        </w:rPr>
        <w:t>Ketua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3F7">
        <w:rPr>
          <w:rFonts w:ascii="Arial" w:hAnsi="Arial" w:cs="Arial"/>
          <w:sz w:val="22"/>
          <w:szCs w:val="22"/>
        </w:rPr>
        <w:t>Pengadilan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Tinggi Agama Padang</w:t>
      </w:r>
    </w:p>
    <w:p w14:paraId="6E010615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>: W3-A/</w:t>
      </w:r>
      <w:r w:rsidRPr="00975C92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2C03F7">
        <w:rPr>
          <w:rFonts w:ascii="Arial" w:hAnsi="Arial" w:cs="Arial"/>
          <w:sz w:val="22"/>
          <w:szCs w:val="22"/>
        </w:rPr>
        <w:t>/OT.00/IV/2023</w:t>
      </w:r>
    </w:p>
    <w:p w14:paraId="38534FF0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3</w:t>
      </w:r>
      <w:r w:rsidRPr="002C0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Pr="002C03F7">
        <w:rPr>
          <w:rFonts w:ascii="Arial" w:hAnsi="Arial" w:cs="Arial"/>
          <w:sz w:val="22"/>
          <w:szCs w:val="22"/>
        </w:rPr>
        <w:t xml:space="preserve"> 2023</w:t>
      </w:r>
    </w:p>
    <w:p w14:paraId="539E3C14" w14:textId="1407F8C4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10DF30C0" w14:textId="77777777" w:rsidR="00975C92" w:rsidRDefault="00975C92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FB41695" w14:textId="77777777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JADWAL KEGIATAN</w:t>
      </w:r>
    </w:p>
    <w:p w14:paraId="7AD3236C" w14:textId="24A145AD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BIMBINGAN TEKNIS ADMINISTRASI YUDISIAL</w:t>
      </w:r>
    </w:p>
    <w:p w14:paraId="59FAB49E" w14:textId="01F00923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51" w:type="dxa"/>
        <w:jc w:val="right"/>
        <w:tblLook w:val="04A0" w:firstRow="1" w:lastRow="0" w:firstColumn="1" w:lastColumn="0" w:noHBand="0" w:noVBand="1"/>
      </w:tblPr>
      <w:tblGrid>
        <w:gridCol w:w="526"/>
        <w:gridCol w:w="1644"/>
        <w:gridCol w:w="4062"/>
        <w:gridCol w:w="2303"/>
        <w:gridCol w:w="1016"/>
      </w:tblGrid>
      <w:tr w:rsidR="00B55BD2" w:rsidRPr="002C03F7" w14:paraId="53325CEC" w14:textId="3EAD0099" w:rsidTr="00975C92">
        <w:trPr>
          <w:trHeight w:val="416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608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No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77A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95DB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091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Narasumber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96B" w14:textId="7B1C41F7" w:rsidR="00B55BD2" w:rsidRPr="00B55BD2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Ket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B55BD2" w:rsidRPr="002C03F7" w14:paraId="11176700" w14:textId="35FF85F5" w:rsidTr="00975C92">
        <w:trPr>
          <w:trHeight w:val="416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E23A2FA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830281D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A7FAB76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Registrasi Peserta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EE1C049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90DE0" w14:textId="061BADAD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B55BD2" w:rsidRPr="002C03F7" w14:paraId="6A790FDD" w14:textId="1DA3EA0A" w:rsidTr="00975C92">
        <w:trPr>
          <w:trHeight w:val="20"/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9D71688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B884DB3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09.30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719B441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Pembukaan Acara 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024EE7D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E29DC" w14:textId="6EE26C95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B55BD2" w:rsidRPr="002C03F7" w14:paraId="184E1AAB" w14:textId="6C9BE9AF" w:rsidTr="00975C92">
        <w:trPr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16291CA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D7FB990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10.00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12.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</w:t>
            </w:r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7FEB895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Implementasi</w:t>
            </w:r>
          </w:p>
          <w:p w14:paraId="71FBFBED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Perma</w:t>
            </w:r>
            <w:proofErr w:type="spellEnd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 No. 5 Tahun 2019</w:t>
            </w:r>
          </w:p>
          <w:p w14:paraId="6AFC9E18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Sema No. 5 Tahun 2021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844B665" w14:textId="77777777" w:rsidR="00B55BD2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Ketua PTA</w:t>
            </w:r>
          </w:p>
          <w:p w14:paraId="7849E73E" w14:textId="6A4305DC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Sumatera Barat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CDEF0" w14:textId="7F6C8CCE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B55BD2" w:rsidRPr="002C03F7" w14:paraId="6B32DBC1" w14:textId="0007EFCF" w:rsidTr="00975C92">
        <w:trPr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1DFE7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0D742DC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12.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13.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D2CD6A0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ISHO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3296C2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9547E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B55BD2" w:rsidRPr="002C03F7" w14:paraId="7944F32D" w14:textId="275CFC2C" w:rsidTr="00975C92">
        <w:trPr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925643E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A834C01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13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15.00</w:t>
            </w:r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A07A605" w14:textId="14853C63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Kinsatker</w:t>
            </w:r>
            <w:proofErr w:type="spellEnd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dan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Keuangan Perkara 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278D7A0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Yasirli</w:t>
            </w:r>
            <w:proofErr w:type="spellEnd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 Amri, </w:t>
            </w:r>
            <w:proofErr w:type="spellStart"/>
            <w:proofErr w:type="gramStart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S.Kom</w:t>
            </w:r>
            <w:proofErr w:type="spellEnd"/>
            <w:proofErr w:type="gramEnd"/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41C80" w14:textId="0262C4A2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</w:p>
        </w:tc>
      </w:tr>
      <w:tr w:rsidR="00B55BD2" w:rsidRPr="002C03F7" w14:paraId="5C8D2FFD" w14:textId="64EE0662" w:rsidTr="00975C92">
        <w:trPr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5320D7E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C3C7643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15.00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691B9DD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ISHO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41EBD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62C16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</w:tr>
      <w:tr w:rsidR="00B55BD2" w:rsidRPr="002C03F7" w14:paraId="5E3444A9" w14:textId="0296643F" w:rsidTr="00975C92">
        <w:trPr>
          <w:trHeight w:val="321"/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F76F64C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1D37EFB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16.00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17.00</w:t>
            </w:r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9BB0D98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Sosialisasi Hasil Rakor Akbar </w:t>
            </w: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Badilag</w:t>
            </w:r>
            <w:proofErr w:type="spellEnd"/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 MARI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97FD69B" w14:textId="77777777" w:rsidR="00B55BD2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Ketua PTA</w:t>
            </w:r>
          </w:p>
          <w:p w14:paraId="080552B9" w14:textId="3A6FAE55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Sumatera Barat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51518" w14:textId="221E2FD4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B55BD2" w:rsidRPr="002C03F7" w14:paraId="3C21C0D3" w14:textId="66D97FCB" w:rsidTr="00975C92">
        <w:trPr>
          <w:trHeight w:val="290"/>
          <w:jc w:val="right"/>
        </w:trPr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63AFE75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0409A07" w14:textId="77777777" w:rsidR="00B55BD2" w:rsidRPr="002C03F7" w:rsidRDefault="00B55BD2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17.00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selesai</w:t>
            </w:r>
            <w:proofErr w:type="spellEnd"/>
          </w:p>
        </w:tc>
        <w:tc>
          <w:tcPr>
            <w:tcW w:w="4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9620257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Penutupan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00B0ED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E02" w14:textId="77777777" w:rsidR="00B55BD2" w:rsidRPr="002C03F7" w:rsidRDefault="00B55BD2" w:rsidP="00B55BD2">
            <w:pPr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</w:tr>
    </w:tbl>
    <w:p w14:paraId="32DC93C6" w14:textId="531DEAE5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DC93679" w14:textId="6B3B8D48" w:rsidR="002C03F7" w:rsidRDefault="002C03F7" w:rsidP="002C03F7">
      <w:pPr>
        <w:ind w:left="6663"/>
        <w:jc w:val="center"/>
        <w:rPr>
          <w:rFonts w:ascii="Arial" w:hAnsi="Arial" w:cs="Arial"/>
          <w:sz w:val="22"/>
          <w:szCs w:val="22"/>
        </w:rPr>
      </w:pPr>
    </w:p>
    <w:p w14:paraId="3D1DAEFD" w14:textId="77777777" w:rsidR="002C03F7" w:rsidRPr="00B7457D" w:rsidRDefault="002C03F7" w:rsidP="002C03F7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36CEE9B7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AE8E819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141CE006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2CB10F6" w14:textId="77777777" w:rsidR="002C03F7" w:rsidRPr="00D42A73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3566B7C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 xml:space="preserve">Dr. Drs. H. </w:t>
      </w:r>
      <w:proofErr w:type="spellStart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Pelmizar</w:t>
      </w:r>
      <w:proofErr w:type="spellEnd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, M.H.I.</w:t>
      </w:r>
    </w:p>
    <w:p w14:paraId="15663DC7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6D764AE1" w14:textId="6E2391EC" w:rsidR="002C03F7" w:rsidRDefault="002C03F7" w:rsidP="00975C92">
      <w:pPr>
        <w:rPr>
          <w:rFonts w:ascii="Arial" w:hAnsi="Arial" w:cs="Arial"/>
          <w:sz w:val="22"/>
          <w:szCs w:val="22"/>
        </w:rPr>
      </w:pPr>
    </w:p>
    <w:sectPr w:rsidR="002C03F7" w:rsidSect="00975C92">
      <w:pgSz w:w="12240" w:h="18720" w:code="168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E891" w14:textId="77777777" w:rsidR="009B4F02" w:rsidRDefault="009B4F02" w:rsidP="00E90A39">
      <w:r>
        <w:separator/>
      </w:r>
    </w:p>
  </w:endnote>
  <w:endnote w:type="continuationSeparator" w:id="0">
    <w:p w14:paraId="65B7B239" w14:textId="77777777" w:rsidR="009B4F02" w:rsidRDefault="009B4F02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CFA7" w14:textId="77777777" w:rsidR="009B4F02" w:rsidRDefault="009B4F02" w:rsidP="00E90A39">
      <w:r>
        <w:separator/>
      </w:r>
    </w:p>
  </w:footnote>
  <w:footnote w:type="continuationSeparator" w:id="0">
    <w:p w14:paraId="34D60C87" w14:textId="77777777" w:rsidR="009B4F02" w:rsidRDefault="009B4F02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7269"/>
    <w:multiLevelType w:val="singleLevel"/>
    <w:tmpl w:val="6714726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3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2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  <w:num w:numId="35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55F3E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043"/>
    <w:rsid w:val="001F73E0"/>
    <w:rsid w:val="00203192"/>
    <w:rsid w:val="00205124"/>
    <w:rsid w:val="0020548B"/>
    <w:rsid w:val="00210D3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03F7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25FC5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2FFD"/>
    <w:rsid w:val="009034A9"/>
    <w:rsid w:val="009061CC"/>
    <w:rsid w:val="009078D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5C92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4F02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5BD2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D325B"/>
    <w:rsid w:val="00DE4A4F"/>
    <w:rsid w:val="00DE50FE"/>
    <w:rsid w:val="00DE621C"/>
    <w:rsid w:val="00DE6676"/>
    <w:rsid w:val="00DF52E5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26C89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3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5</cp:revision>
  <cp:lastPrinted>2023-01-11T06:58:00Z</cp:lastPrinted>
  <dcterms:created xsi:type="dcterms:W3CDTF">2023-04-04T07:31:00Z</dcterms:created>
  <dcterms:modified xsi:type="dcterms:W3CDTF">2023-04-04T07:50:00Z</dcterms:modified>
</cp:coreProperties>
</file>