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503B" w14:textId="77777777" w:rsidR="007B1AF6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E495F00" wp14:editId="3D627094">
            <wp:simplePos x="0" y="0"/>
            <wp:positionH relativeFrom="margin">
              <wp:posOffset>139007</wp:posOffset>
            </wp:positionH>
            <wp:positionV relativeFrom="paragraph">
              <wp:posOffset>101600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D8DF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EB6E35D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93D4665" w14:textId="77777777" w:rsidR="007B1AF6" w:rsidRDefault="007B1AF6" w:rsidP="00BD5E75">
      <w:pPr>
        <w:tabs>
          <w:tab w:val="left" w:pos="1148"/>
          <w:tab w:val="right" w:pos="9981"/>
        </w:tabs>
        <w:ind w:left="1134" w:right="-164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EC261D7" w14:textId="77777777" w:rsidR="007B1AF6" w:rsidRPr="00AB5946" w:rsidRDefault="007B1AF6" w:rsidP="00BD5E75">
      <w:pPr>
        <w:ind w:left="1134" w:right="-164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2304414" w14:textId="77777777" w:rsidR="007B1AF6" w:rsidRPr="00AB5946" w:rsidRDefault="007B1AF6" w:rsidP="00BD5E75">
      <w:pPr>
        <w:ind w:left="1134" w:right="-164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0B09E5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E05DF" wp14:editId="5BA13983">
                <wp:simplePos x="0" y="0"/>
                <wp:positionH relativeFrom="column">
                  <wp:posOffset>60325</wp:posOffset>
                </wp:positionH>
                <wp:positionV relativeFrom="paragraph">
                  <wp:posOffset>65405</wp:posOffset>
                </wp:positionV>
                <wp:extent cx="5976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A51A24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75pt,5.15pt" to="475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2B738CF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7DF48DA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9EB2DD0" w14:textId="77777777" w:rsidR="007B1AF6" w:rsidRPr="007B1AF6" w:rsidRDefault="007B1AF6" w:rsidP="007B1AF6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7B1AF6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042E33A7" w:rsidR="00CA51AB" w:rsidRPr="00114E6F" w:rsidRDefault="00CA51AB" w:rsidP="00CA51AB">
      <w:pPr>
        <w:spacing w:line="360" w:lineRule="auto"/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114E6F">
        <w:rPr>
          <w:rFonts w:ascii="Bookman Old Style" w:hAnsi="Bookman Old Style"/>
          <w:bCs/>
          <w:sz w:val="22"/>
          <w:szCs w:val="22"/>
          <w:lang w:val="id-ID"/>
        </w:rPr>
        <w:t xml:space="preserve">Nomor : </w:t>
      </w:r>
      <w:r w:rsidR="00BC1CF1">
        <w:rPr>
          <w:rFonts w:ascii="Bookman Old Style" w:hAnsi="Bookman Old Style"/>
          <w:bCs/>
          <w:sz w:val="22"/>
          <w:szCs w:val="22"/>
          <w:lang w:val="id-ID"/>
        </w:rPr>
        <w:t xml:space="preserve">  </w:t>
      </w:r>
      <w:r w:rsidR="00EC24E3" w:rsidRPr="00114E6F">
        <w:rPr>
          <w:rFonts w:ascii="Bookman Old Style" w:hAnsi="Bookman Old Style"/>
          <w:bCs/>
          <w:sz w:val="22"/>
          <w:szCs w:val="22"/>
          <w:lang w:val="id-ID"/>
        </w:rPr>
        <w:t>/KPTA.W3-A/PW1.1/V/202</w:t>
      </w:r>
      <w:r w:rsidR="0099570A">
        <w:rPr>
          <w:rFonts w:ascii="Bookman Old Style" w:hAnsi="Bookman Old Style"/>
          <w:bCs/>
          <w:sz w:val="22"/>
          <w:szCs w:val="22"/>
          <w:lang w:val="id-ID"/>
        </w:rPr>
        <w:t>5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7"/>
        <w:gridCol w:w="7792"/>
      </w:tblGrid>
      <w:tr w:rsidR="00DC1AC7" w14:paraId="1F6E0C3B" w14:textId="77777777" w:rsidTr="00BD5E75">
        <w:tc>
          <w:tcPr>
            <w:tcW w:w="1560" w:type="dxa"/>
          </w:tcPr>
          <w:p w14:paraId="2F7C1AA1" w14:textId="0644A57E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Menimbang</w:t>
            </w:r>
          </w:p>
        </w:tc>
        <w:tc>
          <w:tcPr>
            <w:tcW w:w="283" w:type="dxa"/>
          </w:tcPr>
          <w:p w14:paraId="471665E2" w14:textId="128D752B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p w14:paraId="58A05B99" w14:textId="48223C70" w:rsidR="00B464D7" w:rsidRDefault="00AB16CE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bahwa dalam rangka kelancaran pelaksanaan tugas pada Pengadilan Agama di lingkungan Pengadilan Tinggi Agama Padang dipandang perlu untuk melakukan pengawasan dan pembinaan reguler;</w:t>
            </w:r>
          </w:p>
        </w:tc>
      </w:tr>
      <w:tr w:rsidR="0006594F" w:rsidRPr="00911DE2" w14:paraId="199FE97F" w14:textId="77777777" w:rsidTr="00BD5E75">
        <w:tc>
          <w:tcPr>
            <w:tcW w:w="1560" w:type="dxa"/>
          </w:tcPr>
          <w:p w14:paraId="462B8F00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283" w:type="dxa"/>
          </w:tcPr>
          <w:p w14:paraId="1019C98C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7796" w:type="dxa"/>
          </w:tcPr>
          <w:p w14:paraId="4855AB78" w14:textId="77777777" w:rsidR="0006594F" w:rsidRPr="00911DE2" w:rsidRDefault="0006594F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</w:tr>
      <w:tr w:rsidR="00DC1AC7" w14:paraId="33B34F2B" w14:textId="77777777" w:rsidTr="00BD5E75">
        <w:tc>
          <w:tcPr>
            <w:tcW w:w="1560" w:type="dxa"/>
          </w:tcPr>
          <w:p w14:paraId="5BD807CD" w14:textId="7D64A7A8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Dasar</w:t>
            </w:r>
          </w:p>
        </w:tc>
        <w:tc>
          <w:tcPr>
            <w:tcW w:w="283" w:type="dxa"/>
          </w:tcPr>
          <w:p w14:paraId="09B0318C" w14:textId="1980E127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7116"/>
            </w:tblGrid>
            <w:tr w:rsidR="00EF368E" w14:paraId="0FE26F28" w14:textId="77777777" w:rsidTr="00BD5E75">
              <w:tc>
                <w:tcPr>
                  <w:tcW w:w="460" w:type="dxa"/>
                </w:tcPr>
                <w:p w14:paraId="73C29ABD" w14:textId="2F58B45F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16" w:type="dxa"/>
                </w:tcPr>
                <w:p w14:paraId="0BB73E6C" w14:textId="6C183EE3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Keputusan Ketua Mahkamah Agung Nomor KMA/080/SK/VIII/2006 tentang Pedoman Pelaksanaan Pengawasan di lingkungan Badan-badan Peradilan;</w:t>
                  </w:r>
                </w:p>
              </w:tc>
            </w:tr>
            <w:tr w:rsidR="00EF368E" w14:paraId="155252FB" w14:textId="77777777" w:rsidTr="00BD5E75">
              <w:tc>
                <w:tcPr>
                  <w:tcW w:w="460" w:type="dxa"/>
                </w:tcPr>
                <w:p w14:paraId="045FD7FC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16" w:type="dxa"/>
                </w:tcPr>
                <w:p w14:paraId="6BED9AA3" w14:textId="40A69884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Keputusan Ketua Pengadilan Tinggi Agama Padang Nomor </w:t>
                  </w:r>
                  <w:r w:rsidR="0044570A" w:rsidRPr="0044570A">
                    <w:rPr>
                      <w:rFonts w:ascii="Bookman Old Style" w:hAnsi="Bookman Old Style"/>
                      <w:sz w:val="22"/>
                      <w:szCs w:val="22"/>
                    </w:rPr>
                    <w:t>1032/KPTA.W3-A/PW1.1/V/2025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tentang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Perubahan Atas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Penunjukan Hakim Pengawas Bidang, Hakim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Tinggi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dan Pengawas Daerah di lingkungan Pengadilan Tinggi Agama Padang Tahun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</w:tc>
            </w:tr>
            <w:tr w:rsidR="00EF368E" w14:paraId="0F5018ED" w14:textId="77777777" w:rsidTr="00BD5E75">
              <w:tc>
                <w:tcPr>
                  <w:tcW w:w="460" w:type="dxa"/>
                </w:tcPr>
                <w:p w14:paraId="12463317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16" w:type="dxa"/>
                </w:tcPr>
                <w:p w14:paraId="2A22ACE8" w14:textId="278BEAA8" w:rsidR="00EF368E" w:rsidRDefault="0044570A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Daftar Isian Pelaksanaan Anggaran Pengadilan Tinggi Agama Padang Nomor SP DIPA-005.01.2.401900/202</w:t>
                  </w:r>
                  <w:r w:rsidR="0022381A">
                    <w:rPr>
                      <w:rFonts w:ascii="Bookman Old Style" w:hAnsi="Bookman Old Style"/>
                      <w:sz w:val="22"/>
                      <w:szCs w:val="22"/>
                    </w:rPr>
                    <w:t>5</w:t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tanggal 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br/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2 Desember 2024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;</w:t>
                  </w:r>
                </w:p>
              </w:tc>
            </w:tr>
          </w:tbl>
          <w:p w14:paraId="0ED8EB02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DC1AC7" w14:paraId="00499A44" w14:textId="77777777" w:rsidTr="00BD5E75">
        <w:tc>
          <w:tcPr>
            <w:tcW w:w="9639" w:type="dxa"/>
            <w:gridSpan w:val="3"/>
          </w:tcPr>
          <w:p w14:paraId="5C57041E" w14:textId="77777777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  <w:lang w:val="id-ID"/>
              </w:rPr>
            </w:pPr>
          </w:p>
          <w:p w14:paraId="3FC62992" w14:textId="01759B2E" w:rsidR="00DC1AC7" w:rsidRPr="007B1AF6" w:rsidRDefault="007B1AF6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MENUGASKAN</w:t>
            </w:r>
          </w:p>
          <w:p w14:paraId="432868CF" w14:textId="1145D9EE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lang w:val="id-ID"/>
              </w:rPr>
            </w:pPr>
          </w:p>
        </w:tc>
      </w:tr>
      <w:tr w:rsidR="00DC1AC7" w:rsidRPr="007F437B" w14:paraId="2E9952B8" w14:textId="77777777" w:rsidTr="00BD5E75">
        <w:tc>
          <w:tcPr>
            <w:tcW w:w="1560" w:type="dxa"/>
          </w:tcPr>
          <w:p w14:paraId="22AFE265" w14:textId="0D1F2E61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Kepada</w:t>
            </w:r>
          </w:p>
        </w:tc>
        <w:tc>
          <w:tcPr>
            <w:tcW w:w="283" w:type="dxa"/>
          </w:tcPr>
          <w:p w14:paraId="508CFF4E" w14:textId="7B9F5AF9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7160"/>
            </w:tblGrid>
            <w:tr w:rsidR="00911DE2" w:rsidRPr="007F437B" w14:paraId="0D776B55" w14:textId="77777777" w:rsidTr="002A6CA2">
              <w:tc>
                <w:tcPr>
                  <w:tcW w:w="406" w:type="dxa"/>
                </w:tcPr>
                <w:p w14:paraId="3F7568EF" w14:textId="7C5B5CE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60" w:type="dxa"/>
                </w:tcPr>
                <w:p w14:paraId="3C686F02" w14:textId="33D014E9" w:rsidR="00911DE2" w:rsidRPr="00911DE2" w:rsidRDefault="00BC1CF1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 w:rsidRPr="00E4139A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Dra. Zulfiarti, NIP. 196307111992032003, Pembina Utama (IV/e), Hakim Tinggi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  <w:tr w:rsidR="00911DE2" w:rsidRPr="007F437B" w14:paraId="2C8EA51B" w14:textId="77777777" w:rsidTr="002A6CA2">
              <w:tc>
                <w:tcPr>
                  <w:tcW w:w="406" w:type="dxa"/>
                </w:tcPr>
                <w:p w14:paraId="32BC53F7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60" w:type="dxa"/>
                </w:tcPr>
                <w:p w14:paraId="7DEDF2F5" w14:textId="18019508" w:rsidR="00911DE2" w:rsidRPr="00911DE2" w:rsidRDefault="00BC1CF1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Misharni S.H.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196509241994032001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Penata Tingkat I (III/d)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Panitera Pengganti</w:t>
                  </w:r>
                </w:p>
              </w:tc>
            </w:tr>
            <w:tr w:rsidR="00911DE2" w:rsidRPr="007F437B" w14:paraId="175D7E39" w14:textId="77777777" w:rsidTr="002A6CA2">
              <w:tc>
                <w:tcPr>
                  <w:tcW w:w="406" w:type="dxa"/>
                </w:tcPr>
                <w:p w14:paraId="7760B946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60" w:type="dxa"/>
                </w:tcPr>
                <w:p w14:paraId="54B0A2AC" w14:textId="175DB248" w:rsidR="00911DE2" w:rsidRPr="00911DE2" w:rsidRDefault="00BC1CF1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 w:rsidRPr="00C968D2">
                    <w:rPr>
                      <w:rFonts w:ascii="Bookman Old Style" w:hAnsi="Bookman Old Style"/>
                      <w:noProof/>
                      <w:sz w:val="21"/>
                      <w:szCs w:val="21"/>
                    </w:rPr>
                    <w:t>Elsa Rusdiana, S.E.,</w:t>
                  </w:r>
                  <w:r w:rsidRPr="00DB63D9">
                    <w:rPr>
                      <w:rFonts w:ascii="Bookman Old Style" w:hAnsi="Bookman Old Style"/>
                      <w:noProof/>
                      <w:sz w:val="21"/>
                      <w:szCs w:val="21"/>
                    </w:rPr>
                    <w:t xml:space="preserve"> </w:t>
                  </w:r>
                  <w:r w:rsidRPr="00C968D2">
                    <w:rPr>
                      <w:rFonts w:ascii="Bookman Old Style" w:hAnsi="Bookman Old Style"/>
                      <w:noProof/>
                      <w:sz w:val="21"/>
                      <w:szCs w:val="21"/>
                    </w:rPr>
                    <w:t>198701252011012017</w:t>
                  </w:r>
                  <w:r w:rsidRPr="00DB63D9">
                    <w:rPr>
                      <w:rFonts w:ascii="Bookman Old Style" w:hAnsi="Bookman Old Style"/>
                      <w:noProof/>
                      <w:sz w:val="21"/>
                      <w:szCs w:val="21"/>
                    </w:rPr>
                    <w:t xml:space="preserve">, </w:t>
                  </w:r>
                  <w:r w:rsidRPr="00C968D2">
                    <w:rPr>
                      <w:rFonts w:ascii="Bookman Old Style" w:hAnsi="Bookman Old Style"/>
                      <w:noProof/>
                      <w:sz w:val="21"/>
                      <w:szCs w:val="21"/>
                    </w:rPr>
                    <w:t>Penata (III/c)</w:t>
                  </w:r>
                  <w:r w:rsidRPr="00DB63D9">
                    <w:rPr>
                      <w:rFonts w:ascii="Bookman Old Style" w:hAnsi="Bookman Old Style"/>
                      <w:noProof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noProof/>
                      <w:sz w:val="21"/>
                      <w:szCs w:val="21"/>
                    </w:rPr>
                    <w:t>Analis</w:t>
                  </w:r>
                  <w:r w:rsidRPr="00A64443">
                    <w:rPr>
                      <w:rFonts w:ascii="Bookman Old Style" w:hAnsi="Bookman Old Style"/>
                      <w:noProof/>
                      <w:sz w:val="21"/>
                      <w:szCs w:val="21"/>
                    </w:rPr>
                    <w:t xml:space="preserve"> Keuangan APBN </w:t>
                  </w:r>
                  <w:r>
                    <w:rPr>
                      <w:rFonts w:ascii="Bookman Old Style" w:hAnsi="Bookman Old Style"/>
                      <w:noProof/>
                      <w:sz w:val="21"/>
                      <w:szCs w:val="21"/>
                    </w:rPr>
                    <w:t>Muda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  <w:tr w:rsidR="00911DE2" w:rsidRPr="007F437B" w14:paraId="347AC1D7" w14:textId="77777777" w:rsidTr="002A6CA2">
              <w:tc>
                <w:tcPr>
                  <w:tcW w:w="406" w:type="dxa"/>
                </w:tcPr>
                <w:p w14:paraId="78C00D19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4.</w:t>
                  </w:r>
                </w:p>
              </w:tc>
              <w:tc>
                <w:tcPr>
                  <w:tcW w:w="7160" w:type="dxa"/>
                </w:tcPr>
                <w:p w14:paraId="7AC3615A" w14:textId="12BAE2C6" w:rsidR="00911DE2" w:rsidRPr="00911DE2" w:rsidRDefault="00BC1CF1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Feri Hidayat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PPNPN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646B3097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06594F" w:rsidRPr="00911DE2" w14:paraId="41D9E3C7" w14:textId="77777777" w:rsidTr="00BD5E75">
        <w:tc>
          <w:tcPr>
            <w:tcW w:w="1560" w:type="dxa"/>
          </w:tcPr>
          <w:p w14:paraId="192F020A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283" w:type="dxa"/>
          </w:tcPr>
          <w:p w14:paraId="3B6E05D6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7796" w:type="dxa"/>
          </w:tcPr>
          <w:p w14:paraId="06E2B22C" w14:textId="77777777" w:rsidR="0006594F" w:rsidRPr="00911DE2" w:rsidRDefault="0006594F" w:rsidP="008C3A1D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</w:tr>
      <w:tr w:rsidR="00DC1AC7" w14:paraId="022239B0" w14:textId="77777777" w:rsidTr="00BD5E75">
        <w:tc>
          <w:tcPr>
            <w:tcW w:w="1560" w:type="dxa"/>
          </w:tcPr>
          <w:p w14:paraId="4B073868" w14:textId="76C4EC04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Untuk</w:t>
            </w:r>
          </w:p>
        </w:tc>
        <w:tc>
          <w:tcPr>
            <w:tcW w:w="283" w:type="dxa"/>
          </w:tcPr>
          <w:p w14:paraId="6F0BC645" w14:textId="2B71F6AC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6"/>
            </w:tblGrid>
            <w:tr w:rsidR="00BC567B" w14:paraId="62A375DF" w14:textId="77777777" w:rsidTr="00FC0751">
              <w:tc>
                <w:tcPr>
                  <w:tcW w:w="7566" w:type="dxa"/>
                </w:tcPr>
                <w:p w14:paraId="37E7774B" w14:textId="54BCDC99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Melaksanakan pengawasan dan pembinaan reguler di Pengadilan Agama </w:t>
                  </w:r>
                  <w:r w:rsidR="00BC1CF1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Koto Baru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pada tanggal </w:t>
                  </w:r>
                  <w:r w:rsidR="00BC1CF1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19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s.d. </w:t>
                  </w:r>
                  <w:r w:rsidR="00BC1CF1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20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Mei 202</w:t>
                  </w:r>
                  <w:r w:rsidR="002A2A3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  <w:p w14:paraId="4D9EDD7A" w14:textId="765F0FA0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</w:p>
              </w:tc>
            </w:tr>
            <w:tr w:rsidR="00BC567B" w14:paraId="5AF71ADC" w14:textId="77777777" w:rsidTr="00FC0751">
              <w:tc>
                <w:tcPr>
                  <w:tcW w:w="7566" w:type="dxa"/>
                </w:tcPr>
                <w:p w14:paraId="7F3408BD" w14:textId="10C3E732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Segala biaya yang timbul untuk pelaksanaan tugas ini dibebankan pada DIPA Pengadilan Tinggi Agama Padang Tahun Anggaran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  <w:p w14:paraId="0A402C7B" w14:textId="77777777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</w:p>
              </w:tc>
            </w:tr>
          </w:tbl>
          <w:p w14:paraId="54CE6241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</w:tbl>
    <w:p w14:paraId="55562405" w14:textId="77777777" w:rsidR="00FC4564" w:rsidRPr="00D3180C" w:rsidRDefault="00FC4564" w:rsidP="00FC4564">
      <w:pPr>
        <w:rPr>
          <w:rFonts w:ascii="Bookman Old Style" w:hAnsi="Bookman Old Style"/>
          <w:sz w:val="22"/>
          <w:szCs w:val="22"/>
          <w:lang w:val="id-ID"/>
        </w:rPr>
      </w:pPr>
    </w:p>
    <w:p w14:paraId="21916433" w14:textId="29028F26" w:rsidR="00CA51AB" w:rsidRPr="00114E6F" w:rsidRDefault="00EC24E3" w:rsidP="00021610">
      <w:pPr>
        <w:ind w:left="4320" w:firstLine="1350"/>
        <w:rPr>
          <w:rFonts w:ascii="Bookman Old Style" w:hAnsi="Bookman Old Style"/>
          <w:sz w:val="22"/>
          <w:szCs w:val="22"/>
          <w:lang w:val="id-ID"/>
        </w:rPr>
      </w:pPr>
      <w:r w:rsidRPr="00114E6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BC1CF1">
        <w:rPr>
          <w:rFonts w:ascii="Bookman Old Style" w:hAnsi="Bookman Old Style"/>
          <w:sz w:val="22"/>
          <w:szCs w:val="22"/>
          <w:lang w:val="id-ID"/>
        </w:rPr>
        <w:t>16</w:t>
      </w:r>
      <w:r w:rsidR="0044570A">
        <w:rPr>
          <w:rFonts w:ascii="Bookman Old Style" w:hAnsi="Bookman Old Style"/>
          <w:sz w:val="22"/>
          <w:szCs w:val="22"/>
          <w:lang w:val="id-ID"/>
        </w:rPr>
        <w:t xml:space="preserve"> Mei 2025</w:t>
      </w:r>
    </w:p>
    <w:p w14:paraId="61BDB6F1" w14:textId="5F8536E0" w:rsidR="00CA51AB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>Ketua,</w:t>
      </w:r>
    </w:p>
    <w:p w14:paraId="46202127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59A4BAB2" w14:textId="6090F3E9" w:rsidR="00CA51AB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33EA24CF" w14:textId="77777777" w:rsidR="003C0FB8" w:rsidRPr="007B1AF6" w:rsidRDefault="003C0FB8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1CBCF664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</w:rPr>
      </w:pPr>
    </w:p>
    <w:p w14:paraId="4830DFD3" w14:textId="292C7A2B" w:rsidR="00EC24E3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 xml:space="preserve">Abd. </w:t>
      </w:r>
      <w:r w:rsidR="0044570A">
        <w:rPr>
          <w:rFonts w:ascii="Bookman Old Style" w:hAnsi="Bookman Old Style"/>
          <w:bCs/>
          <w:sz w:val="22"/>
          <w:szCs w:val="22"/>
          <w:lang w:val="id-ID"/>
        </w:rPr>
        <w:t>Hakim</w:t>
      </w:r>
    </w:p>
    <w:p w14:paraId="127F58D7" w14:textId="6AD5757D" w:rsidR="00562359" w:rsidRDefault="00562359" w:rsidP="001E02E2">
      <w:pPr>
        <w:tabs>
          <w:tab w:val="left" w:pos="1418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A2AEF2" w14:textId="24A212B5" w:rsidR="00606787" w:rsidRDefault="00606787" w:rsidP="00BD5E75">
      <w:pPr>
        <w:tabs>
          <w:tab w:val="left" w:pos="1418"/>
        </w:tabs>
        <w:spacing w:line="276" w:lineRule="auto"/>
        <w:ind w:left="126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Tembusan 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9074"/>
      </w:tblGrid>
      <w:tr w:rsidR="00B230B0" w14:paraId="4D0B0DB0" w14:textId="77777777" w:rsidTr="00BD5E75">
        <w:tc>
          <w:tcPr>
            <w:tcW w:w="560" w:type="dxa"/>
          </w:tcPr>
          <w:p w14:paraId="48069835" w14:textId="3EE2C9F9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1.</w:t>
            </w:r>
          </w:p>
        </w:tc>
        <w:tc>
          <w:tcPr>
            <w:tcW w:w="9074" w:type="dxa"/>
          </w:tcPr>
          <w:p w14:paraId="2C762F8D" w14:textId="5C0B770B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Yml. Ketua Kamar Agama Mahkamah Agung RI;</w:t>
            </w:r>
          </w:p>
        </w:tc>
      </w:tr>
      <w:tr w:rsidR="00B230B0" w14:paraId="05937D15" w14:textId="77777777" w:rsidTr="00BD5E75">
        <w:tc>
          <w:tcPr>
            <w:tcW w:w="560" w:type="dxa"/>
          </w:tcPr>
          <w:p w14:paraId="633E117A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2.</w:t>
            </w:r>
          </w:p>
        </w:tc>
        <w:tc>
          <w:tcPr>
            <w:tcW w:w="9074" w:type="dxa"/>
          </w:tcPr>
          <w:p w14:paraId="5F3168EF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Kepala Badan Pengawasan Mahkamah Agung RI;</w:t>
            </w:r>
          </w:p>
        </w:tc>
      </w:tr>
      <w:tr w:rsidR="00B230B0" w14:paraId="6830D51A" w14:textId="77777777" w:rsidTr="00BD5E75">
        <w:tc>
          <w:tcPr>
            <w:tcW w:w="560" w:type="dxa"/>
          </w:tcPr>
          <w:p w14:paraId="06324375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3.</w:t>
            </w:r>
          </w:p>
        </w:tc>
        <w:tc>
          <w:tcPr>
            <w:tcW w:w="9074" w:type="dxa"/>
          </w:tcPr>
          <w:p w14:paraId="51529527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Direktur Jenderal Badan Peradilan Agama Mahkamah Agung RI;</w:t>
            </w:r>
          </w:p>
        </w:tc>
      </w:tr>
      <w:tr w:rsidR="00B230B0" w14:paraId="62F9B051" w14:textId="77777777" w:rsidTr="00BD5E75">
        <w:tc>
          <w:tcPr>
            <w:tcW w:w="560" w:type="dxa"/>
          </w:tcPr>
          <w:p w14:paraId="346C41C7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4.</w:t>
            </w:r>
          </w:p>
        </w:tc>
        <w:tc>
          <w:tcPr>
            <w:tcW w:w="9074" w:type="dxa"/>
          </w:tcPr>
          <w:p w14:paraId="38244862" w14:textId="656F3A45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Ketua Pengadilan Agama </w:t>
            </w:r>
            <w:r w:rsidR="00BC1CF1">
              <w:rPr>
                <w:rFonts w:ascii="Bookman Old Style" w:hAnsi="Bookman Old Style"/>
                <w:sz w:val="22"/>
                <w:szCs w:val="22"/>
                <w:lang w:val="id-ID"/>
              </w:rPr>
              <w:t>Koto Baru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.</w:t>
            </w:r>
          </w:p>
        </w:tc>
      </w:tr>
    </w:tbl>
    <w:p w14:paraId="3FD09677" w14:textId="77777777" w:rsidR="008C3ADF" w:rsidRDefault="008C3ADF"/>
    <w:sectPr w:rsidR="008C3ADF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1610"/>
    <w:rsid w:val="000417C2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C1B15"/>
    <w:rsid w:val="001C46B8"/>
    <w:rsid w:val="001C78BA"/>
    <w:rsid w:val="001E02E2"/>
    <w:rsid w:val="001E5A88"/>
    <w:rsid w:val="001E6BE6"/>
    <w:rsid w:val="0020104D"/>
    <w:rsid w:val="00222153"/>
    <w:rsid w:val="0022381A"/>
    <w:rsid w:val="00227122"/>
    <w:rsid w:val="0024066E"/>
    <w:rsid w:val="002A2A3A"/>
    <w:rsid w:val="002A6CA2"/>
    <w:rsid w:val="002D45F0"/>
    <w:rsid w:val="002F4537"/>
    <w:rsid w:val="00377F52"/>
    <w:rsid w:val="00394C40"/>
    <w:rsid w:val="003974A3"/>
    <w:rsid w:val="003C0FB8"/>
    <w:rsid w:val="003E619E"/>
    <w:rsid w:val="00400296"/>
    <w:rsid w:val="00420D5B"/>
    <w:rsid w:val="0044570A"/>
    <w:rsid w:val="004E56B9"/>
    <w:rsid w:val="00523E38"/>
    <w:rsid w:val="00537BC8"/>
    <w:rsid w:val="00562359"/>
    <w:rsid w:val="00581CA4"/>
    <w:rsid w:val="005A3903"/>
    <w:rsid w:val="005A782A"/>
    <w:rsid w:val="005B22DF"/>
    <w:rsid w:val="005B2E9B"/>
    <w:rsid w:val="005C32DE"/>
    <w:rsid w:val="005F0A0A"/>
    <w:rsid w:val="00606787"/>
    <w:rsid w:val="006428C6"/>
    <w:rsid w:val="00644414"/>
    <w:rsid w:val="00664846"/>
    <w:rsid w:val="00680CE0"/>
    <w:rsid w:val="00686B28"/>
    <w:rsid w:val="00705353"/>
    <w:rsid w:val="00712F34"/>
    <w:rsid w:val="00713582"/>
    <w:rsid w:val="007162F1"/>
    <w:rsid w:val="0072763B"/>
    <w:rsid w:val="0077320E"/>
    <w:rsid w:val="00776285"/>
    <w:rsid w:val="007B1AF6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83A31"/>
    <w:rsid w:val="008A1129"/>
    <w:rsid w:val="008A71EB"/>
    <w:rsid w:val="008C3A1D"/>
    <w:rsid w:val="008C3ADF"/>
    <w:rsid w:val="00911DE2"/>
    <w:rsid w:val="00994063"/>
    <w:rsid w:val="0099570A"/>
    <w:rsid w:val="00997456"/>
    <w:rsid w:val="009A26AD"/>
    <w:rsid w:val="009D5975"/>
    <w:rsid w:val="00A2410F"/>
    <w:rsid w:val="00A31A08"/>
    <w:rsid w:val="00A40EBE"/>
    <w:rsid w:val="00A468BC"/>
    <w:rsid w:val="00A60DCE"/>
    <w:rsid w:val="00A73379"/>
    <w:rsid w:val="00A916F5"/>
    <w:rsid w:val="00AB16CE"/>
    <w:rsid w:val="00AE4085"/>
    <w:rsid w:val="00AE7E5F"/>
    <w:rsid w:val="00AF6C24"/>
    <w:rsid w:val="00AF6F53"/>
    <w:rsid w:val="00AF7D36"/>
    <w:rsid w:val="00B00767"/>
    <w:rsid w:val="00B015E8"/>
    <w:rsid w:val="00B03A31"/>
    <w:rsid w:val="00B230B0"/>
    <w:rsid w:val="00B330AE"/>
    <w:rsid w:val="00B45B42"/>
    <w:rsid w:val="00B46362"/>
    <w:rsid w:val="00B464D7"/>
    <w:rsid w:val="00B974FE"/>
    <w:rsid w:val="00BA035E"/>
    <w:rsid w:val="00BC1CF1"/>
    <w:rsid w:val="00BC567B"/>
    <w:rsid w:val="00BC6235"/>
    <w:rsid w:val="00BD482B"/>
    <w:rsid w:val="00BD5E75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46CCD"/>
    <w:rsid w:val="00D9156F"/>
    <w:rsid w:val="00DC1AC7"/>
    <w:rsid w:val="00DC58A0"/>
    <w:rsid w:val="00DD3520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D0610"/>
    <w:rsid w:val="00EE025A"/>
    <w:rsid w:val="00EF368E"/>
    <w:rsid w:val="00F90CA0"/>
    <w:rsid w:val="00FC0751"/>
    <w:rsid w:val="00FC456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DEC6-7421-414E-8508-20086AA0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11</cp:revision>
  <cp:lastPrinted>2025-05-09T09:03:00Z</cp:lastPrinted>
  <dcterms:created xsi:type="dcterms:W3CDTF">2024-04-21T17:05:00Z</dcterms:created>
  <dcterms:modified xsi:type="dcterms:W3CDTF">2025-05-16T02:34:00Z</dcterms:modified>
</cp:coreProperties>
</file>