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right" w:pos="9960"/>
        </w:tabs>
        <w:spacing w:line="360" w:lineRule="auto"/>
        <w:jc w:val="both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PS</w:t>
      </w:r>
      <w:r>
        <w:rPr>
          <w:rFonts w:ascii="Bookman Old Style" w:hAnsi="Bookman Old Style" w:cs="Bookman Old Style"/>
          <w:sz w:val="22"/>
          <w:szCs w:val="22"/>
        </w:rPr>
        <w:t>.0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V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   </w:t>
      </w:r>
      <w:r>
        <w:rPr>
          <w:rFonts w:ascii="Bookman Old Style" w:hAnsi="Bookman Old Style" w:cs="Bookman Old Style"/>
          <w:sz w:val="22"/>
          <w:szCs w:val="22"/>
        </w:rPr>
        <w:t xml:space="preserve"> April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</w:p>
    <w:p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</w:rPr>
        <w:t>Sifat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Rahasia</w:t>
      </w:r>
    </w:p>
    <w:p>
      <w:pPr>
        <w:tabs>
          <w:tab w:val="left" w:pos="1080"/>
        </w:tabs>
        <w:spacing w:line="360" w:lineRule="auto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-</w:t>
      </w:r>
    </w:p>
    <w:p>
      <w:pPr>
        <w:spacing w:line="360" w:lineRule="auto"/>
        <w:ind w:left="953" w:hanging="952" w:hangingChars="433"/>
        <w:rPr>
          <w:rFonts w:hint="default"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Klarifikasi</w:t>
      </w:r>
    </w:p>
    <w:p>
      <w:pPr>
        <w:spacing w:line="360" w:lineRule="auto"/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spacing w:line="360" w:lineRule="auto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epala Badan Pengawas Mahkamah Agung RI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360" w:lineRule="auto"/>
        <w:ind w:firstLine="440" w:firstLineChars="2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Membaca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Surat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Kepala Badan Pengawasan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Mahkamah Agung 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Nomor: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172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BP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Dlg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III</w:t>
      </w:r>
      <w:r>
        <w:rPr>
          <w:rFonts w:ascii="Bookman Old Style" w:hAnsi="Bookman Old Style"/>
          <w:b w:val="0"/>
          <w:bCs w:val="0"/>
          <w:sz w:val="22"/>
          <w:szCs w:val="22"/>
        </w:rPr>
        <w:t>/202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3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14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Maret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3</w:t>
      </w:r>
      <w:bookmarkStart w:id="0" w:name="_GoBack"/>
      <w:bookmarkEnd w:id="0"/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4"/>
          <w:lang w:val="id-ID"/>
        </w:rPr>
        <w:t>perihal sebagaimana pokok surat</w:t>
      </w:r>
      <w:r>
        <w:rPr>
          <w:rFonts w:ascii="Bookman Old Style" w:hAnsi="Bookman Old Style"/>
          <w:b w:val="0"/>
          <w:bCs w:val="0"/>
          <w:sz w:val="22"/>
          <w:szCs w:val="22"/>
        </w:rPr>
        <w:t>,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 xml:space="preserve"> yang dalam Surat tersebut dijelaskan fotokopi  surat pengaduan terlampir, setelah kami teliti ternyata tidak ada terlampir, untuk itu kami mohon perkenannya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mengirimkan lampiran surat tersebut.</w:t>
      </w:r>
    </w:p>
    <w:p>
      <w:pPr>
        <w:pStyle w:val="10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>Demikian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atas perhatian dan kerjasamanya kami sampaikan terima  kasih </w:t>
      </w:r>
    </w:p>
    <w:p>
      <w:pPr>
        <w:pStyle w:val="10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  <w:t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  <w:t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  <w:t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  <w:t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  <w:t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  <w:t xml:space="preserve">  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5293" w:leftChars="2200" w:hanging="13" w:hangingChars="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 Pengadilan Tinggi Agama Padang </w:t>
      </w: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  <w:sz w:val="22"/>
          <w:szCs w:val="22"/>
        </w:rPr>
      </w:pP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  <w:sz w:val="22"/>
          <w:szCs w:val="22"/>
        </w:rPr>
      </w:pP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rPr>
          <w:rFonts w:hint="default" w:ascii="Bookman Old Style" w:hAnsi="Bookman Old Style"/>
          <w:b/>
          <w:bCs/>
          <w:sz w:val="22"/>
          <w:szCs w:val="22"/>
        </w:rPr>
      </w:pP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  <w:t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  <w:t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  <w:t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  <w:t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  <w:t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  <w:t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  <w:t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  <w:t xml:space="preserve">   </w:t>
      </w:r>
      <w:r>
        <w:rPr>
          <w:rFonts w:hint="default" w:ascii="Bookman Old Style" w:hAnsi="Bookman Old Style"/>
          <w:b/>
          <w:bCs/>
          <w:sz w:val="22"/>
          <w:szCs w:val="22"/>
        </w:rPr>
        <w:t>Dr. Drs. H. Pelmizar, M.H.I.</w:t>
      </w:r>
    </w:p>
    <w:p>
      <w:pPr>
        <w:pStyle w:val="17"/>
        <w:tabs>
          <w:tab w:val="left" w:pos="567"/>
        </w:tabs>
        <w:spacing w:line="360" w:lineRule="auto"/>
        <w:rPr>
          <w:rFonts w:hint="default" w:ascii="Bookman Old Style" w:hAnsi="Bookman Old Style"/>
          <w:b/>
          <w:bCs/>
          <w:sz w:val="22"/>
          <w:szCs w:val="22"/>
        </w:rPr>
      </w:pPr>
    </w:p>
    <w:p>
      <w:pPr>
        <w:pStyle w:val="17"/>
        <w:tabs>
          <w:tab w:val="left" w:pos="567"/>
        </w:tabs>
        <w:spacing w:line="360" w:lineRule="auto"/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Tembusan: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YM. Ketua Kamar Pengawasan MA-RI;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ind w:left="0" w:leftChars="0" w:firstLine="0" w:firstLineChars="0"/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sectPr>
          <w:pgSz w:w="12140" w:h="17020"/>
          <w:pgMar w:top="850" w:right="1584" w:bottom="562" w:left="1728" w:header="720" w:footer="720" w:gutter="0"/>
          <w:cols w:space="0" w:num="1"/>
        </w:sect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Yth. Sekretaris Mahkamah Agung RI</w:t>
      </w:r>
    </w:p>
    <w:p>
      <w:pPr>
        <w:pStyle w:val="17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1C950"/>
    <w:multiLevelType w:val="singleLevel"/>
    <w:tmpl w:val="9F11C9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767B2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43648CF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B9E40-2741-4994-8D85-C536D693C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2</Pages>
  <Words>157</Words>
  <Characters>900</Characters>
  <Lines>7</Lines>
  <Paragraphs>2</Paragraphs>
  <TotalTime>27</TotalTime>
  <ScaleCrop>false</ScaleCrop>
  <LinksUpToDate>false</LinksUpToDate>
  <CharactersWithSpaces>1055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2022-04-13T01:11:00Z</dcterms:created>
  <dc:creator>Subag Umum</dc:creator>
  <cp:lastModifiedBy>Winda Harza</cp:lastModifiedBy>
  <cp:lastPrinted>2023-04-17T07:17:19Z</cp:lastPrinted>
  <dcterms:modified xsi:type="dcterms:W3CDTF">2023-04-17T07:18:52Z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1057-11.2.0.11516</vt:lpwstr>
  </property>
  <property fmtid="{D5CDD505-2E9C-101B-9397-08002B2CF9AE}" pid="4" name="ICV">
    <vt:lpwstr>ACF4132849154D41846C170898F1FF43</vt:lpwstr>
  </property>
</Properties>
</file>