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E050" w14:textId="77777777" w:rsidR="00CA51AB" w:rsidRPr="009A4102" w:rsidRDefault="00CA51AB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2D743AE5" wp14:editId="5889709C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13448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8D789" wp14:editId="1701869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1BDE" w14:textId="77777777" w:rsidR="00CA51AB" w:rsidRPr="00CF294E" w:rsidRDefault="00CA51AB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D789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4DB71BDE" w14:textId="77777777" w:rsidR="00CA51AB" w:rsidRPr="00CF294E" w:rsidRDefault="00CA51AB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55F721E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8D25" wp14:editId="4DF792D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12F1" w14:textId="77777777" w:rsidR="00CA51AB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D3084D5" w14:textId="77777777" w:rsidR="00CA51AB" w:rsidRPr="00CF294E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8D25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DB112F1" w14:textId="77777777" w:rsidR="00CA51AB" w:rsidRDefault="00CA51AB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D3084D5" w14:textId="77777777" w:rsidR="00CA51AB" w:rsidRPr="00CF294E" w:rsidRDefault="00CA51AB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A9B912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0F2DCF05" w14:textId="3D86563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8359E" wp14:editId="1C60C1F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FF5C" w14:textId="77777777" w:rsidR="00CA51AB" w:rsidRPr="00E616E9" w:rsidRDefault="00CA51AB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359E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EB3FF5C" w14:textId="77777777" w:rsidR="00CA51AB" w:rsidRPr="00E616E9" w:rsidRDefault="00CA51AB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6BA05F" w14:textId="5A67070D" w:rsidR="00CA51AB" w:rsidRPr="009A4102" w:rsidRDefault="00CA51AB" w:rsidP="00CA51A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BA6BF94" w14:textId="77777777" w:rsidR="00E7521D" w:rsidRDefault="00E7521D" w:rsidP="00E7521D">
      <w:pPr>
        <w:jc w:val="center"/>
        <w:rPr>
          <w:rFonts w:ascii="Bookman Old Style" w:hAnsi="Bookman Old Style"/>
          <w:bCs/>
          <w:sz w:val="21"/>
          <w:szCs w:val="21"/>
          <w:lang w:val="id-ID"/>
        </w:rPr>
      </w:pPr>
    </w:p>
    <w:p w14:paraId="1819B6B0" w14:textId="77777777" w:rsidR="00365962" w:rsidRPr="00A11F0C" w:rsidRDefault="00365962" w:rsidP="0036596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B320D30" wp14:editId="4A30E326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949D6" id="Straight Connector 2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xhwQEAAGIDAAAOAAAAZHJzL2Uyb0RvYy54bWysU01v2zAMvQ/YfxB0X5wETVoYcXpI0V26&#10;LUC6H8DIsi1MFgVKiZ1/P0r5WLfeivkgmCL59N6jtHoceyuOmoJBV8nZZCqFdgpr49pK/nx9/vIg&#10;RYjgarDodCVPOsjH9edPq8GXeo4d2lqTYBAXysFXsovRl0URVKd7CBP02nGyQeohckhtURMMjN7b&#10;Yj6dLosBqfaESofAu0/npFxn/KbRKv5omqCjsJVkbjGvlNd9Wov1CsqWwHdGXWjAB1j0YBwfeoN6&#10;ggjiQOYdVG8UYcAmThT2BTaNUTprYDWz6T9qdh14nbWwOcHfbAr/D1Z9P25JmLqS8zspHPQ8o10k&#10;MG0XxQadYweRBCfZqcGHkhs2bktJqxrdzr+g+hWEw00HrtWZ8evJM8osdRR/taQgeD5vP3zDmmvg&#10;EDHbNjbUJ0g2RIx5OqfbdPQYheLN+WJ5d79cSKGuuQLKa6OnEL9q7EX6qaQ1LhkHJRxfQkxEoLyW&#10;pG2Hz8baPHzrxMBsFw/3i9wR0Jo6ZVNdoHa/sSSOkO5P/rIszrwtIzy4+nyKdRfVSejZsj3Wpy1d&#10;3eBBZjqXS5duyts4d/95GuvfAAAA//8DAFBLAwQUAAYACAAAACEAcgteYtwAAAAGAQAADwAAAGRy&#10;cy9kb3ducmV2LnhtbEyPQU/CQBCF7yT+h82QeIMtQkBrt4SQmHgRA/oDhu7QNnZnm+4CLb/eMR70&#10;OO+9vPdNtu5doy7Uhdqzgdk0AUVceFtzaeDz42XyCCpEZIuNZzIwUIB1fjfKMLX+ynu6HGKppIRD&#10;igaqGNtU61BU5DBMfUss3sl3DqOcXalth1cpd41+SJKldlizLFTY0rai4utwdgb2W79bbdrF++su&#10;vp1Wt9tARTkYcz/uN8+gIvXxLww/+IIOuTAd/ZltUI0BeSQamC+FX9xFMn8CdfwVdJ7p//j5NwAA&#10;AP//AwBQSwECLQAUAAYACAAAACEAtoM4kv4AAADhAQAAEwAAAAAAAAAAAAAAAAAAAAAAW0NvbnRl&#10;bnRfVHlwZXNdLnhtbFBLAQItABQABgAIAAAAIQA4/SH/1gAAAJQBAAALAAAAAAAAAAAAAAAAAC8B&#10;AABfcmVscy8ucmVsc1BLAQItABQABgAIAAAAIQCUh4xhwQEAAGIDAAAOAAAAAAAAAAAAAAAAAC4C&#10;AABkcnMvZTJvRG9jLnhtbFBLAQItABQABgAIAAAAIQByC15i3AAAAAYBAAAPAAAAAAAAAAAAAAAA&#10;ABsEAABkcnMvZG93bnJldi54bWxQSwUGAAAAAAQABADzAAAAJAUAAAAA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 xml:space="preserve">S  U  R  A  T      </w:t>
      </w:r>
      <w:proofErr w:type="spellStart"/>
      <w:r w:rsidRPr="00A11F0C">
        <w:rPr>
          <w:rFonts w:ascii="Bookman Old Style" w:hAnsi="Bookman Old Style"/>
          <w:b/>
          <w:sz w:val="22"/>
          <w:szCs w:val="22"/>
          <w:lang w:val="id-ID"/>
        </w:rPr>
        <w:t>T</w:t>
      </w:r>
      <w:proofErr w:type="spellEnd"/>
      <w:r w:rsidRPr="00A11F0C">
        <w:rPr>
          <w:rFonts w:ascii="Bookman Old Style" w:hAnsi="Bookman Old Style"/>
          <w:b/>
          <w:sz w:val="22"/>
          <w:szCs w:val="22"/>
          <w:lang w:val="id-ID"/>
        </w:rPr>
        <w:t xml:space="preserve">  U  G  A  S</w:t>
      </w:r>
    </w:p>
    <w:p w14:paraId="2D824F89" w14:textId="77777777" w:rsidR="00365962" w:rsidRPr="00DC207A" w:rsidRDefault="00365962" w:rsidP="00365962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18EE0F7B" w14:textId="73D5AAE5" w:rsidR="00E7521D" w:rsidRDefault="00E7521D" w:rsidP="00E7521D">
      <w:pPr>
        <w:jc w:val="center"/>
        <w:rPr>
          <w:rFonts w:ascii="Bookman Old Style" w:hAnsi="Bookman Old Style"/>
          <w:bCs/>
          <w:sz w:val="21"/>
          <w:szCs w:val="21"/>
          <w:lang w:val="id-ID"/>
        </w:rPr>
      </w:pPr>
    </w:p>
    <w:p w14:paraId="2D8379AF" w14:textId="77777777" w:rsidR="00227122" w:rsidRPr="00B27483" w:rsidRDefault="00227122" w:rsidP="00CA51AB">
      <w:pPr>
        <w:rPr>
          <w:rFonts w:ascii="Bookman Old Style" w:hAnsi="Bookman Old Style"/>
          <w:b/>
          <w:sz w:val="21"/>
          <w:szCs w:val="21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797"/>
      </w:tblGrid>
      <w:tr w:rsidR="00DC1AC7" w:rsidRPr="00B27483" w14:paraId="1F6E0C3B" w14:textId="77777777" w:rsidTr="00B27483">
        <w:tc>
          <w:tcPr>
            <w:tcW w:w="1560" w:type="dxa"/>
          </w:tcPr>
          <w:p w14:paraId="2F7C1AA1" w14:textId="0644A57E" w:rsidR="00DC1AC7" w:rsidRPr="00B27483" w:rsidRDefault="00DC1AC7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Pr="00B27483" w:rsidRDefault="00DC1AC7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p w14:paraId="1E0D1B3A" w14:textId="77777777" w:rsidR="00B464D7" w:rsidRDefault="00AB16CE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</w:t>
            </w:r>
            <w:r w:rsidR="009540C2" w:rsidRPr="009540C2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Kantor Wilayah Kementerian Agama Provinsi Sumatera Barat </w:t>
            </w:r>
            <w:r w:rsidR="009540C2" w:rsidRPr="009540C2">
              <w:rPr>
                <w:rFonts w:ascii="Bookman Old Style" w:hAnsi="Bookman Old Style"/>
                <w:i/>
                <w:iCs/>
                <w:sz w:val="21"/>
                <w:szCs w:val="21"/>
                <w:lang w:val="en-GB"/>
              </w:rPr>
              <w:t>Focus Group Discussion</w:t>
            </w:r>
            <w:r w:rsidR="009540C2"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(FGD)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tentang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Kriteria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Neo MABIMS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awal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bulan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Qamariyah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dan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Ketinggian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Hilal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serta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Efek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Cahaya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Matahari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Senja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Bersama BMKG Padang Panjang dan BHR Sumatera Barat </w:t>
            </w:r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yang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antara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lain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mengundang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Ketua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>Pengadilan</w:t>
            </w:r>
            <w:proofErr w:type="spellEnd"/>
            <w:r w:rsidR="009540C2"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Tinggi Agama Padang</w:t>
            </w:r>
            <w:r w:rsidR="00E7521D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14:paraId="58A05B99" w14:textId="47CCFCDA" w:rsidR="00365962" w:rsidRPr="00365962" w:rsidRDefault="00365962" w:rsidP="00365962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DC1AC7" w:rsidRPr="00B27483" w14:paraId="33B34F2B" w14:textId="77777777" w:rsidTr="00B27483">
        <w:tc>
          <w:tcPr>
            <w:tcW w:w="1560" w:type="dxa"/>
          </w:tcPr>
          <w:p w14:paraId="5BD807CD" w14:textId="7D64A7A8" w:rsidR="00DC1AC7" w:rsidRPr="00B27483" w:rsidRDefault="00DC1AC7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Pr="00B27483" w:rsidRDefault="00DC1AC7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7116"/>
            </w:tblGrid>
            <w:tr w:rsidR="00EF368E" w:rsidRPr="00B27483" w14:paraId="4FB72756" w14:textId="77777777" w:rsidTr="00365962">
              <w:tc>
                <w:tcPr>
                  <w:tcW w:w="290" w:type="dxa"/>
                </w:tcPr>
                <w:p w14:paraId="669827C7" w14:textId="11EAEDF1" w:rsidR="00EF368E" w:rsidRPr="00B27483" w:rsidRDefault="00E752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GB"/>
                    </w:rPr>
                    <w:t>1</w:t>
                  </w:r>
                  <w:r w:rsidR="00EF368E"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</w:t>
                  </w:r>
                </w:p>
              </w:tc>
              <w:tc>
                <w:tcPr>
                  <w:tcW w:w="7116" w:type="dxa"/>
                </w:tcPr>
                <w:p w14:paraId="763AFADF" w14:textId="3FF9EB9F" w:rsidR="00EF368E" w:rsidRPr="00394550" w:rsidRDefault="009540C2" w:rsidP="009540C2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Undang-Undang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50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Tahun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2009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tentang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Perubahan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Kedua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atas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Undang-Undang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7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tahun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1989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tentang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Peradilan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Agama;</w:t>
                  </w:r>
                </w:p>
              </w:tc>
            </w:tr>
            <w:tr w:rsidR="00365962" w:rsidRPr="00B27483" w14:paraId="0CEC7C51" w14:textId="77777777" w:rsidTr="00365962">
              <w:tc>
                <w:tcPr>
                  <w:tcW w:w="290" w:type="dxa"/>
                </w:tcPr>
                <w:p w14:paraId="6686EEF5" w14:textId="3E574209" w:rsidR="00365962" w:rsidRDefault="00365962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GB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618A2CFB" w14:textId="6A5D3698" w:rsidR="00365962" w:rsidRDefault="00365962" w:rsidP="00365962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Keputusan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Ketua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Mahkamah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Agung RI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KMA/095/X/2006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tentang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Sidang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Itsbat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Kesaksian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Rukyatul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Hilal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;</w:t>
                  </w:r>
                </w:p>
              </w:tc>
            </w:tr>
            <w:tr w:rsidR="00365962" w:rsidRPr="00B27483" w14:paraId="7F9103DB" w14:textId="77777777" w:rsidTr="00365962">
              <w:tc>
                <w:tcPr>
                  <w:tcW w:w="290" w:type="dxa"/>
                </w:tcPr>
                <w:p w14:paraId="6769EED0" w14:textId="23B58320" w:rsidR="00365962" w:rsidRDefault="00365962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GB"/>
                    </w:rPr>
                    <w:t>3.</w:t>
                  </w:r>
                </w:p>
              </w:tc>
              <w:tc>
                <w:tcPr>
                  <w:tcW w:w="7116" w:type="dxa"/>
                </w:tcPr>
                <w:p w14:paraId="65FB9506" w14:textId="15044D39" w:rsidR="00365962" w:rsidRDefault="00365962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Direktur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Jenderal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Badan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Peradilan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Agama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770/DjA.3/HM.00/3/2023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perihal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Itsbat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Kesaksian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Rukyat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Hilal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Awal Ramadan,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Syawal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>Zulhijah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1444 H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;</w:t>
                  </w:r>
                </w:p>
              </w:tc>
            </w:tr>
            <w:tr w:rsidR="00EF368E" w:rsidRPr="00B27483" w14:paraId="4024545C" w14:textId="77777777" w:rsidTr="00365962">
              <w:tc>
                <w:tcPr>
                  <w:tcW w:w="290" w:type="dxa"/>
                </w:tcPr>
                <w:p w14:paraId="406CDE7E" w14:textId="39E54FFD" w:rsidR="00EF368E" w:rsidRPr="00B27483" w:rsidRDefault="00365962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GB"/>
                    </w:rPr>
                    <w:t>4</w:t>
                  </w:r>
                  <w:r w:rsidR="00EF368E"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</w:t>
                  </w:r>
                </w:p>
              </w:tc>
              <w:tc>
                <w:tcPr>
                  <w:tcW w:w="7116" w:type="dxa"/>
                </w:tcPr>
                <w:p w14:paraId="2BA04FDB" w14:textId="7372C2D6" w:rsidR="00EF368E" w:rsidRPr="00B27483" w:rsidRDefault="00394550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</w:t>
                  </w:r>
                  <w:proofErr w:type="spellStart"/>
                  <w:r w:rsidR="009540C2">
                    <w:rPr>
                      <w:rFonts w:ascii="Bookman Old Style" w:hAnsi="Bookman Old Style"/>
                      <w:sz w:val="21"/>
                      <w:szCs w:val="21"/>
                    </w:rPr>
                    <w:t>kepala</w:t>
                  </w:r>
                  <w:proofErr w:type="spellEnd"/>
                  <w:r w:rsid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Kantor Wilayah Kementerian Agama </w:t>
                  </w:r>
                  <w:proofErr w:type="spellStart"/>
                  <w:r w:rsidR="009540C2">
                    <w:rPr>
                      <w:rFonts w:ascii="Bookman Old Style" w:hAnsi="Bookman Old Style"/>
                      <w:sz w:val="21"/>
                      <w:szCs w:val="21"/>
                    </w:rPr>
                    <w:t>Provinsi</w:t>
                  </w:r>
                  <w:proofErr w:type="spellEnd"/>
                  <w:r w:rsid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Sumatera Barat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 w:rsidR="009540C2">
                    <w:rPr>
                      <w:rFonts w:ascii="Bookman Old Style" w:hAnsi="Bookman Old Style"/>
                      <w:sz w:val="21"/>
                      <w:szCs w:val="21"/>
                    </w:rPr>
                    <w:t>B-53/Kw.03.5/BA.01/04/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2023 </w:t>
                  </w:r>
                  <w:proofErr w:type="spellStart"/>
                  <w:r w:rsidR="009540C2">
                    <w:rPr>
                      <w:rFonts w:ascii="Bookman Old Style" w:hAnsi="Bookman Old Style"/>
                      <w:sz w:val="21"/>
                      <w:szCs w:val="21"/>
                    </w:rPr>
                    <w:t>tangal</w:t>
                  </w:r>
                  <w:proofErr w:type="spellEnd"/>
                  <w:r w:rsid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6 April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2023 </w:t>
                  </w:r>
                  <w:proofErr w:type="spellStart"/>
                  <w:r w:rsidR="009540C2">
                    <w:rPr>
                      <w:rFonts w:ascii="Bookman Old Style" w:hAnsi="Bookman Old Style"/>
                      <w:sz w:val="21"/>
                      <w:szCs w:val="21"/>
                    </w:rPr>
                    <w:t>perihal</w:t>
                  </w:r>
                  <w:proofErr w:type="spellEnd"/>
                  <w:r w:rsidR="009540C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540C2">
                    <w:rPr>
                      <w:rFonts w:ascii="Bookman Old Style" w:hAnsi="Bookman Old Style"/>
                      <w:sz w:val="21"/>
                      <w:szCs w:val="21"/>
                    </w:rPr>
                    <w:t>Undangan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;</w:t>
                  </w:r>
                </w:p>
              </w:tc>
            </w:tr>
            <w:tr w:rsidR="00EF368E" w:rsidRPr="00B27483" w14:paraId="5CC2C86C" w14:textId="77777777" w:rsidTr="00365962">
              <w:tc>
                <w:tcPr>
                  <w:tcW w:w="290" w:type="dxa"/>
                </w:tcPr>
                <w:p w14:paraId="4CC5120E" w14:textId="3449D3AF" w:rsidR="00EF368E" w:rsidRPr="00B27483" w:rsidRDefault="00365962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GB"/>
                    </w:rPr>
                    <w:t>5</w:t>
                  </w:r>
                  <w:r w:rsidR="00EF368E"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</w:t>
                  </w:r>
                </w:p>
              </w:tc>
              <w:tc>
                <w:tcPr>
                  <w:tcW w:w="7116" w:type="dxa"/>
                </w:tcPr>
                <w:p w14:paraId="3F528B9C" w14:textId="2245522D" w:rsidR="00EF368E" w:rsidRPr="00B27483" w:rsidRDefault="00394550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4</w:t>
                  </w: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.2.40190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</w:t>
                  </w: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/2023 tanggal 30 November 2022;</w:t>
                  </w:r>
                </w:p>
              </w:tc>
            </w:tr>
          </w:tbl>
          <w:p w14:paraId="14D8E215" w14:textId="77777777" w:rsidR="0062283A" w:rsidRPr="00394550" w:rsidRDefault="0062283A" w:rsidP="00B27483">
            <w:pPr>
              <w:rPr>
                <w:rFonts w:asciiTheme="minorHAnsi" w:eastAsiaTheme="minorHAnsi" w:hAnsiTheme="minorHAnsi" w:cstheme="minorBidi"/>
                <w:sz w:val="2"/>
                <w:szCs w:val="2"/>
                <w:lang w:val="id-ID"/>
              </w:rPr>
            </w:pPr>
          </w:p>
        </w:tc>
      </w:tr>
      <w:tr w:rsidR="00DC1AC7" w:rsidRPr="00B27483" w14:paraId="00499A44" w14:textId="77777777" w:rsidTr="00B27483">
        <w:tc>
          <w:tcPr>
            <w:tcW w:w="9639" w:type="dxa"/>
            <w:gridSpan w:val="3"/>
          </w:tcPr>
          <w:p w14:paraId="5C57041E" w14:textId="77DA465A" w:rsidR="00DC1AC7" w:rsidRDefault="00DC1AC7" w:rsidP="00B27483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17"/>
                <w:szCs w:val="17"/>
                <w:lang w:val="id-ID"/>
              </w:rPr>
            </w:pPr>
          </w:p>
          <w:p w14:paraId="0BC9D313" w14:textId="77777777" w:rsidR="00365962" w:rsidRPr="00365962" w:rsidRDefault="00365962" w:rsidP="00365962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5"/>
                <w:szCs w:val="5"/>
                <w:lang w:val="id-ID"/>
              </w:rPr>
            </w:pPr>
          </w:p>
          <w:p w14:paraId="3FC62992" w14:textId="77777777" w:rsidR="00DC1AC7" w:rsidRPr="00B27483" w:rsidRDefault="00DC1AC7" w:rsidP="00B27483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  <w:t>MEMBERI TUGAS</w:t>
            </w:r>
          </w:p>
          <w:p w14:paraId="432868CF" w14:textId="1145D9EE" w:rsidR="00DC1AC7" w:rsidRPr="00B27483" w:rsidRDefault="00DC1AC7" w:rsidP="00B27483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17"/>
                <w:szCs w:val="17"/>
                <w:lang w:val="id-ID"/>
              </w:rPr>
            </w:pPr>
          </w:p>
        </w:tc>
      </w:tr>
      <w:tr w:rsidR="00DC1AC7" w:rsidRPr="00B27483" w14:paraId="2E9952B8" w14:textId="77777777" w:rsidTr="00B27483">
        <w:tc>
          <w:tcPr>
            <w:tcW w:w="1560" w:type="dxa"/>
          </w:tcPr>
          <w:p w14:paraId="22AFE265" w14:textId="0D1F2E61" w:rsidR="00DC1AC7" w:rsidRPr="00B27483" w:rsidRDefault="00DC1AC7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Pr="00B27483" w:rsidRDefault="00DC1AC7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8C3A1D" w:rsidRPr="00B27483" w14:paraId="0D776B55" w14:textId="77777777" w:rsidTr="00365962">
              <w:tc>
                <w:tcPr>
                  <w:tcW w:w="406" w:type="dxa"/>
                </w:tcPr>
                <w:p w14:paraId="3F7568EF" w14:textId="7C5B5CE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164765EE" w14:textId="7777777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4C1E0B6A" w14:textId="7DA3E7C6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</w:t>
                  </w:r>
                  <w:r w:rsidR="00E24E52"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IP</w:t>
                  </w:r>
                </w:p>
                <w:p w14:paraId="37A8C4F0" w14:textId="23F15600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</w:t>
                  </w:r>
                  <w:r w:rsidR="00E24E52"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/Gol. Ru.</w:t>
                  </w:r>
                </w:p>
                <w:p w14:paraId="60980673" w14:textId="7777777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33C4CC2" w14:textId="7777777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B59864A" w14:textId="7777777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481C097" w14:textId="7777777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0C6367F" w14:textId="7777777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438F0B15" w14:textId="0019BE97" w:rsidR="00394550" w:rsidRPr="00341ED2" w:rsidRDefault="009540C2" w:rsidP="00394550">
                  <w:pPr>
                    <w:tabs>
                      <w:tab w:val="left" w:pos="3686"/>
                      <w:tab w:val="left" w:pos="3969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9540C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Drs. H. </w:t>
                  </w:r>
                  <w:proofErr w:type="spellStart"/>
                  <w:r w:rsidRPr="009540C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Sulem</w:t>
                  </w:r>
                  <w:proofErr w:type="spellEnd"/>
                  <w:r w:rsidRPr="009540C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 Ahmad, S.H., M.A.</w:t>
                  </w:r>
                </w:p>
                <w:p w14:paraId="6DEF2019" w14:textId="77777777" w:rsidR="00365962" w:rsidRDefault="009540C2" w:rsidP="00394550">
                  <w:pPr>
                    <w:tabs>
                      <w:tab w:val="left" w:pos="3686"/>
                      <w:tab w:val="left" w:pos="3969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9540C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195607291986031002</w:t>
                  </w:r>
                </w:p>
                <w:p w14:paraId="298226ED" w14:textId="58B3346D" w:rsidR="00394550" w:rsidRPr="000B4183" w:rsidRDefault="00394550" w:rsidP="00394550">
                  <w:pPr>
                    <w:tabs>
                      <w:tab w:val="left" w:pos="3686"/>
                      <w:tab w:val="left" w:pos="3969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0B4183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Pembina Utama (IV/e)</w:t>
                  </w:r>
                </w:p>
                <w:p w14:paraId="24F06769" w14:textId="77777777" w:rsidR="008C3A1D" w:rsidRDefault="00394550" w:rsidP="00394550">
                  <w:pPr>
                    <w:tabs>
                      <w:tab w:val="left" w:pos="3686"/>
                      <w:tab w:val="left" w:pos="3969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0B4183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Hakim Tinggi</w:t>
                  </w:r>
                </w:p>
                <w:p w14:paraId="3C686F02" w14:textId="09AF4B82" w:rsidR="00365962" w:rsidRPr="00365962" w:rsidRDefault="00365962" w:rsidP="00394550">
                  <w:pPr>
                    <w:tabs>
                      <w:tab w:val="left" w:pos="3686"/>
                      <w:tab w:val="left" w:pos="3969"/>
                    </w:tabs>
                    <w:jc w:val="both"/>
                    <w:rPr>
                      <w:rFonts w:ascii="Bookman Old Style" w:hAnsi="Bookman Old Style"/>
                      <w:sz w:val="12"/>
                      <w:szCs w:val="12"/>
                      <w:lang w:val="id-ID"/>
                    </w:rPr>
                  </w:pPr>
                </w:p>
              </w:tc>
            </w:tr>
            <w:tr w:rsidR="008C3A1D" w:rsidRPr="00B27483" w14:paraId="2B471305" w14:textId="77777777" w:rsidTr="00365962">
              <w:tc>
                <w:tcPr>
                  <w:tcW w:w="406" w:type="dxa"/>
                </w:tcPr>
                <w:p w14:paraId="34DA04AC" w14:textId="32D5A4C7" w:rsidR="008C3A1D" w:rsidRPr="00B27483" w:rsidRDefault="009540C2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GB"/>
                    </w:rPr>
                    <w:t>2</w:t>
                  </w:r>
                  <w:r w:rsidR="008C3A1D"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</w:t>
                  </w:r>
                </w:p>
              </w:tc>
              <w:tc>
                <w:tcPr>
                  <w:tcW w:w="2034" w:type="dxa"/>
                </w:tcPr>
                <w:p w14:paraId="2AF21812" w14:textId="7777777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1619235D" w14:textId="7777777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5D6E5BE8" w14:textId="7777777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1A13B72" w14:textId="382C29F9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54D41C63" w14:textId="2DD837FE" w:rsidR="008C3A1D" w:rsidRPr="00394550" w:rsidRDefault="009540C2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Feri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Hidayat</w:t>
                  </w:r>
                </w:p>
                <w:p w14:paraId="6851F594" w14:textId="77777777" w:rsidR="008C3A1D" w:rsidRPr="00B27483" w:rsidRDefault="008C3A1D" w:rsidP="00B27483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B27483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PPNPN</w:t>
                  </w:r>
                </w:p>
              </w:tc>
            </w:tr>
          </w:tbl>
          <w:p w14:paraId="60B18201" w14:textId="77777777" w:rsidR="0062283A" w:rsidRPr="00B27483" w:rsidRDefault="0062283A" w:rsidP="00B27483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B27483" w14:paraId="022239B0" w14:textId="77777777" w:rsidTr="00B27483">
        <w:tc>
          <w:tcPr>
            <w:tcW w:w="1560" w:type="dxa"/>
          </w:tcPr>
          <w:p w14:paraId="4B073868" w14:textId="76C4EC04" w:rsidR="00DC1AC7" w:rsidRPr="00B27483" w:rsidRDefault="00DC1AC7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Pr="00B27483" w:rsidRDefault="00DC1AC7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p w14:paraId="14D53C61" w14:textId="77777777" w:rsidR="0062283A" w:rsidRPr="00B27483" w:rsidRDefault="0062283A" w:rsidP="00B27483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3180C" w:rsidRPr="00B27483" w14:paraId="56F075A1" w14:textId="77777777" w:rsidTr="00B27483">
        <w:tc>
          <w:tcPr>
            <w:tcW w:w="1560" w:type="dxa"/>
          </w:tcPr>
          <w:p w14:paraId="370135C1" w14:textId="00C6D555" w:rsidR="00D3180C" w:rsidRPr="00B27483" w:rsidRDefault="00D3180C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Pertama</w:t>
            </w:r>
          </w:p>
        </w:tc>
        <w:tc>
          <w:tcPr>
            <w:tcW w:w="287" w:type="dxa"/>
          </w:tcPr>
          <w:p w14:paraId="4477F711" w14:textId="2662E6D9" w:rsidR="00D3180C" w:rsidRPr="00B27483" w:rsidRDefault="00D3180C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494E2BBB" w14:textId="739436FC" w:rsidR="00D3180C" w:rsidRPr="009540C2" w:rsidRDefault="009540C2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Mengikuti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r w:rsidRPr="009540C2">
              <w:rPr>
                <w:rFonts w:ascii="Bookman Old Style" w:hAnsi="Bookman Old Style"/>
                <w:i/>
                <w:iCs/>
                <w:sz w:val="21"/>
                <w:szCs w:val="21"/>
                <w:lang w:val="en-GB"/>
              </w:rPr>
              <w:t>Focus Group Discussion</w:t>
            </w:r>
            <w:r w:rsidR="00D3180C"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(FGD)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tentang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Kriteria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val="en-GB"/>
              </w:rPr>
              <w:br/>
              <w:t xml:space="preserve">Neo MABIMS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awal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bulan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Qamariyah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Ketinggian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Hilal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serta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Efek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Cahaya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Matahari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Senja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Bersama BMKG Padang Panjang dan </w:t>
            </w:r>
            <w:r>
              <w:rPr>
                <w:rFonts w:ascii="Bookman Old Style" w:hAnsi="Bookman Old Style"/>
                <w:sz w:val="21"/>
                <w:szCs w:val="21"/>
                <w:lang w:val="en-GB"/>
              </w:rPr>
              <w:br/>
              <w:t xml:space="preserve">BHR Sumatera Barat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serta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dilanjutkan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dengan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Rukyatul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Hilal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</w:t>
            </w:r>
            <w:r w:rsidR="00D3180C"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pada tanggal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20 April </w:t>
            </w:r>
            <w:r w:rsidR="00D3180C"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2023</w:t>
            </w:r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di Hotel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Rangkayo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Basa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Syofyan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GB"/>
              </w:rPr>
              <w:t xml:space="preserve"> Inn, Padang</w:t>
            </w:r>
          </w:p>
        </w:tc>
      </w:tr>
      <w:tr w:rsidR="00D3180C" w:rsidRPr="00B27483" w14:paraId="6D8C24D9" w14:textId="77777777" w:rsidTr="00B27483">
        <w:tc>
          <w:tcPr>
            <w:tcW w:w="1560" w:type="dxa"/>
          </w:tcPr>
          <w:p w14:paraId="537A0AD0" w14:textId="77777777" w:rsidR="00D3180C" w:rsidRPr="00B27483" w:rsidRDefault="00D3180C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287" w:type="dxa"/>
          </w:tcPr>
          <w:p w14:paraId="0BFDA289" w14:textId="77777777" w:rsidR="00D3180C" w:rsidRPr="00B27483" w:rsidRDefault="00D3180C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1C511480" w14:textId="77777777" w:rsidR="00D3180C" w:rsidRPr="00B27483" w:rsidRDefault="00D3180C" w:rsidP="00B27483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B27483">
              <w:rPr>
                <w:rFonts w:ascii="Bookman Old Style" w:hAnsi="Bookman Old Style"/>
                <w:sz w:val="21"/>
                <w:szCs w:val="21"/>
                <w:lang w:val="id-ID"/>
              </w:rPr>
              <w:t>Segala biaya yang timbul untuk pelaksanaan tugas ini dibebankan pada DIPA Pengadilan Tinggi Agama Padang Tahun Anggaran 2023.</w:t>
            </w:r>
          </w:p>
        </w:tc>
      </w:tr>
    </w:tbl>
    <w:p w14:paraId="55562405" w14:textId="77777777" w:rsidR="00FC4564" w:rsidRPr="00B27483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21916433" w14:textId="74BE65B8" w:rsidR="00CA51AB" w:rsidRPr="00B27483" w:rsidRDefault="009540C2" w:rsidP="00365962">
      <w:pPr>
        <w:ind w:left="4320" w:firstLine="106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18</w:t>
      </w:r>
      <w:r w:rsidR="00887C42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April</w:t>
      </w:r>
      <w:r w:rsidR="00EC24E3" w:rsidRPr="00B27483">
        <w:rPr>
          <w:rFonts w:ascii="Bookman Old Style" w:hAnsi="Bookman Old Style"/>
          <w:sz w:val="21"/>
          <w:szCs w:val="21"/>
          <w:lang w:val="id-ID"/>
        </w:rPr>
        <w:t xml:space="preserve"> 2023</w:t>
      </w:r>
    </w:p>
    <w:p w14:paraId="61BDB6F1" w14:textId="3BD1A51A" w:rsidR="00CA51AB" w:rsidRPr="00A3571B" w:rsidRDefault="00EC24E3" w:rsidP="00365962">
      <w:pPr>
        <w:ind w:left="4320" w:firstLine="1067"/>
        <w:rPr>
          <w:rFonts w:ascii="Bookman Old Style" w:hAnsi="Bookman Old Style"/>
          <w:b/>
          <w:sz w:val="21"/>
          <w:szCs w:val="21"/>
          <w:lang w:val="id-ID"/>
        </w:rPr>
      </w:pPr>
      <w:r w:rsidRPr="00A3571B">
        <w:rPr>
          <w:rFonts w:ascii="Bookman Old Style" w:hAnsi="Bookman Old Style"/>
          <w:b/>
          <w:sz w:val="21"/>
          <w:szCs w:val="21"/>
          <w:lang w:val="id-ID"/>
        </w:rPr>
        <w:t>Ketua,</w:t>
      </w:r>
    </w:p>
    <w:p w14:paraId="46202127" w14:textId="77777777" w:rsidR="00CA51AB" w:rsidRPr="00A3571B" w:rsidRDefault="00CA51AB" w:rsidP="00365962">
      <w:pPr>
        <w:ind w:left="4320" w:firstLine="1067"/>
        <w:rPr>
          <w:rFonts w:ascii="Bookman Old Style" w:hAnsi="Bookman Old Style"/>
          <w:b/>
          <w:sz w:val="21"/>
          <w:szCs w:val="21"/>
          <w:lang w:val="id-ID"/>
        </w:rPr>
      </w:pPr>
    </w:p>
    <w:p w14:paraId="59A4BAB2" w14:textId="77777777" w:rsidR="00CA51AB" w:rsidRPr="00A3571B" w:rsidRDefault="00CA51AB" w:rsidP="00365962">
      <w:pPr>
        <w:ind w:left="4320" w:firstLine="1067"/>
        <w:rPr>
          <w:rFonts w:ascii="Bookman Old Style" w:hAnsi="Bookman Old Style"/>
          <w:b/>
          <w:sz w:val="21"/>
          <w:szCs w:val="21"/>
          <w:lang w:val="id-ID"/>
        </w:rPr>
      </w:pPr>
    </w:p>
    <w:p w14:paraId="1F9B1D3A" w14:textId="77777777" w:rsidR="00CA51AB" w:rsidRPr="00A3571B" w:rsidRDefault="00CA51AB" w:rsidP="00365962">
      <w:pPr>
        <w:ind w:left="4320" w:firstLine="1067"/>
        <w:rPr>
          <w:rFonts w:ascii="Bookman Old Style" w:hAnsi="Bookman Old Style"/>
          <w:b/>
          <w:sz w:val="21"/>
          <w:szCs w:val="21"/>
        </w:rPr>
      </w:pPr>
    </w:p>
    <w:p w14:paraId="1CBCF664" w14:textId="77777777" w:rsidR="00CA51AB" w:rsidRPr="00A3571B" w:rsidRDefault="00CA51AB" w:rsidP="00365962">
      <w:pPr>
        <w:ind w:left="4320" w:firstLine="1067"/>
        <w:rPr>
          <w:rFonts w:ascii="Bookman Old Style" w:hAnsi="Bookman Old Style"/>
          <w:b/>
          <w:sz w:val="21"/>
          <w:szCs w:val="21"/>
        </w:rPr>
      </w:pPr>
    </w:p>
    <w:p w14:paraId="4830DFD3" w14:textId="762F52DD" w:rsidR="00EC24E3" w:rsidRPr="00A3571B" w:rsidRDefault="00EC24E3" w:rsidP="00365962">
      <w:pPr>
        <w:ind w:left="4320" w:firstLine="1067"/>
        <w:rPr>
          <w:rFonts w:ascii="Bookman Old Style" w:hAnsi="Bookman Old Style"/>
          <w:b/>
          <w:sz w:val="21"/>
          <w:szCs w:val="21"/>
        </w:rPr>
      </w:pPr>
      <w:proofErr w:type="spellStart"/>
      <w:r w:rsidRPr="00A3571B">
        <w:rPr>
          <w:rFonts w:ascii="Bookman Old Style" w:hAnsi="Bookman Old Style"/>
          <w:b/>
          <w:sz w:val="21"/>
          <w:szCs w:val="21"/>
          <w:lang w:val="id-ID"/>
        </w:rPr>
        <w:t>Dr</w:t>
      </w:r>
      <w:proofErr w:type="spellEnd"/>
      <w:r w:rsidR="00887C42" w:rsidRPr="00A3571B">
        <w:rPr>
          <w:rFonts w:ascii="Bookman Old Style" w:hAnsi="Bookman Old Style"/>
          <w:b/>
          <w:sz w:val="21"/>
          <w:szCs w:val="21"/>
        </w:rPr>
        <w:t xml:space="preserve">. Drs. H. </w:t>
      </w:r>
      <w:proofErr w:type="spellStart"/>
      <w:r w:rsidR="00887C42" w:rsidRPr="00A3571B">
        <w:rPr>
          <w:rFonts w:ascii="Bookman Old Style" w:hAnsi="Bookman Old Style"/>
          <w:b/>
          <w:sz w:val="21"/>
          <w:szCs w:val="21"/>
        </w:rPr>
        <w:t>Pelmizar</w:t>
      </w:r>
      <w:proofErr w:type="spellEnd"/>
      <w:r w:rsidR="00887C42" w:rsidRPr="00A3571B">
        <w:rPr>
          <w:rFonts w:ascii="Bookman Old Style" w:hAnsi="Bookman Old Style"/>
          <w:b/>
          <w:sz w:val="21"/>
          <w:szCs w:val="21"/>
        </w:rPr>
        <w:t>, M.H.I.</w:t>
      </w:r>
    </w:p>
    <w:p w14:paraId="2F9EB26A" w14:textId="5142DDBD" w:rsidR="009660D4" w:rsidRPr="009660D4" w:rsidRDefault="009660D4" w:rsidP="00365962">
      <w:pPr>
        <w:ind w:left="4320" w:firstLine="1067"/>
        <w:rPr>
          <w:rFonts w:ascii="Bookman Old Style" w:hAnsi="Bookman Old Style"/>
          <w:bCs/>
          <w:sz w:val="21"/>
          <w:szCs w:val="21"/>
        </w:rPr>
      </w:pPr>
      <w:r w:rsidRPr="009660D4">
        <w:rPr>
          <w:rFonts w:ascii="Bookman Old Style" w:hAnsi="Bookman Old Style"/>
          <w:bCs/>
          <w:sz w:val="21"/>
          <w:szCs w:val="21"/>
        </w:rPr>
        <w:t>NIP. 195611121981031009</w:t>
      </w:r>
    </w:p>
    <w:p w14:paraId="04089E0E" w14:textId="77777777" w:rsidR="009540C2" w:rsidRDefault="009540C2" w:rsidP="00E7521D">
      <w:pPr>
        <w:tabs>
          <w:tab w:val="left" w:pos="1418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9A2AEF2" w14:textId="0612385B" w:rsidR="00606787" w:rsidRDefault="00606787" w:rsidP="00E7521D">
      <w:pPr>
        <w:tabs>
          <w:tab w:val="left" w:pos="1418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 w:rsidRPr="00B27483">
        <w:rPr>
          <w:rFonts w:ascii="Bookman Old Style" w:hAnsi="Bookman Old Style"/>
          <w:sz w:val="21"/>
          <w:szCs w:val="21"/>
          <w:lang w:val="id-ID"/>
        </w:rPr>
        <w:t>Tembusan :</w:t>
      </w:r>
    </w:p>
    <w:p w14:paraId="3E12D334" w14:textId="733D5385" w:rsidR="009540C2" w:rsidRPr="00B27483" w:rsidRDefault="009540C2" w:rsidP="00E7521D">
      <w:pPr>
        <w:tabs>
          <w:tab w:val="left" w:pos="1418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 w:rsidRPr="00B27483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Plt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 xml:space="preserve">. </w:t>
      </w:r>
      <w:r w:rsidRPr="00B27483">
        <w:rPr>
          <w:rFonts w:ascii="Bookman Old Style" w:hAnsi="Bookman Old Style"/>
          <w:sz w:val="21"/>
          <w:szCs w:val="21"/>
          <w:lang w:val="id-ID"/>
        </w:rPr>
        <w:t>Direktur Jenderal Badan Peradilan Agama Mahkamah Agung RI;</w:t>
      </w:r>
    </w:p>
    <w:p w14:paraId="61D2A3D7" w14:textId="77777777" w:rsidR="00200552" w:rsidRPr="00B27483" w:rsidRDefault="00200552">
      <w:pPr>
        <w:rPr>
          <w:sz w:val="21"/>
          <w:szCs w:val="21"/>
        </w:rPr>
      </w:pPr>
    </w:p>
    <w:sectPr w:rsidR="00200552" w:rsidRPr="00B27483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C1B15"/>
    <w:rsid w:val="001C46B8"/>
    <w:rsid w:val="001C78BA"/>
    <w:rsid w:val="001E02E2"/>
    <w:rsid w:val="001E5A88"/>
    <w:rsid w:val="001E6BE6"/>
    <w:rsid w:val="00200552"/>
    <w:rsid w:val="0020104D"/>
    <w:rsid w:val="00222153"/>
    <w:rsid w:val="00227122"/>
    <w:rsid w:val="0024066E"/>
    <w:rsid w:val="002D45F0"/>
    <w:rsid w:val="002F4537"/>
    <w:rsid w:val="00365962"/>
    <w:rsid w:val="00372E78"/>
    <w:rsid w:val="00377F52"/>
    <w:rsid w:val="00394550"/>
    <w:rsid w:val="00394C40"/>
    <w:rsid w:val="003974A3"/>
    <w:rsid w:val="003E619E"/>
    <w:rsid w:val="00400296"/>
    <w:rsid w:val="00420D5B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2159"/>
    <w:rsid w:val="00606787"/>
    <w:rsid w:val="0062283A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87C42"/>
    <w:rsid w:val="008A1129"/>
    <w:rsid w:val="008A71EB"/>
    <w:rsid w:val="008C3A1D"/>
    <w:rsid w:val="009540C2"/>
    <w:rsid w:val="009660D4"/>
    <w:rsid w:val="00994063"/>
    <w:rsid w:val="00997456"/>
    <w:rsid w:val="009D5975"/>
    <w:rsid w:val="009E1B20"/>
    <w:rsid w:val="00A31A08"/>
    <w:rsid w:val="00A3571B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30B0"/>
    <w:rsid w:val="00B27483"/>
    <w:rsid w:val="00B45B42"/>
    <w:rsid w:val="00B46362"/>
    <w:rsid w:val="00B464D7"/>
    <w:rsid w:val="00B974FE"/>
    <w:rsid w:val="00BA035E"/>
    <w:rsid w:val="00BC6235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7521D"/>
    <w:rsid w:val="00E80B21"/>
    <w:rsid w:val="00EC0417"/>
    <w:rsid w:val="00EC24E3"/>
    <w:rsid w:val="00EF368E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Rifka Hidayat</cp:lastModifiedBy>
  <cp:revision>3</cp:revision>
  <cp:lastPrinted>2023-04-18T04:11:00Z</cp:lastPrinted>
  <dcterms:created xsi:type="dcterms:W3CDTF">2023-04-18T04:11:00Z</dcterms:created>
  <dcterms:modified xsi:type="dcterms:W3CDTF">2023-04-18T04:12:00Z</dcterms:modified>
</cp:coreProperties>
</file>