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31D2FB45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2B7557">
        <w:rPr>
          <w:rFonts w:ascii="Bookman Old Style" w:hAnsi="Bookman Old Style" w:cs="Tahoma"/>
          <w:sz w:val="21"/>
          <w:szCs w:val="21"/>
        </w:rPr>
        <w:t xml:space="preserve">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2B7557">
        <w:rPr>
          <w:rFonts w:ascii="Bookman Old Style" w:hAnsi="Bookman Old Style" w:cs="Tahoma"/>
          <w:sz w:val="21"/>
          <w:szCs w:val="21"/>
        </w:rPr>
        <w:t>4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2B7557">
        <w:rPr>
          <w:rFonts w:ascii="Bookman Old Style" w:hAnsi="Bookman Old Style" w:cs="Tahoma"/>
          <w:sz w:val="21"/>
          <w:szCs w:val="21"/>
        </w:rPr>
        <w:t>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788073FC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0B1FE5">
        <w:rPr>
          <w:rFonts w:ascii="Bookman Old Style" w:hAnsi="Bookman Old Style"/>
          <w:sz w:val="21"/>
          <w:szCs w:val="21"/>
        </w:rPr>
        <w:t>KEPANITERAAN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45EF8B9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2B7557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 Pengadilan Tinggi Agama Padang pada bidang Kepaniteraan dipandang perlu melaksanakan pelatihan;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>bahwa bentuk pengembangan kompetensi yang akan dilaksanakan dalam bentuk bimbingan teknis;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>
        <w:rPr>
          <w:rFonts w:ascii="Bookman Old Style" w:hAnsi="Bookman Old Style" w:cs="Tahoma"/>
          <w:sz w:val="21"/>
          <w:szCs w:val="21"/>
        </w:rPr>
        <w:t xml:space="preserve">bimbingan teknis </w:t>
      </w:r>
      <w:r w:rsidR="00C85026">
        <w:rPr>
          <w:rFonts w:ascii="Bookman Old Style" w:hAnsi="Bookman Old Style" w:cs="Tahoma"/>
          <w:sz w:val="21"/>
          <w:szCs w:val="21"/>
        </w:rPr>
        <w:t>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4F8F1C54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Panitia Pelaksana Bimbingan Teknis Kepaniteraan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3ABAE146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C34559">
        <w:rPr>
          <w:rFonts w:ascii="Bookman Old Style" w:hAnsi="Bookman Old Style" w:cs="Tahoma"/>
          <w:bCs/>
          <w:sz w:val="21"/>
          <w:szCs w:val="21"/>
        </w:rPr>
        <w:t>1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C3455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tentang Petunjuk Pelaksanaan Kegiatan Bimbingan Teknis Aparatur Sipil Negara Tahun Anggaran 202</w:t>
      </w:r>
      <w:r w:rsidR="003671F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3CEA21C4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BC22DC">
        <w:rPr>
          <w:rFonts w:ascii="Bookman Old Style" w:hAnsi="Bookman Old Style"/>
          <w:sz w:val="21"/>
          <w:szCs w:val="21"/>
        </w:rPr>
        <w:t xml:space="preserve">KEPANITERAAN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0A2BDFC2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D21D86">
        <w:rPr>
          <w:rFonts w:ascii="Bookman Old Style" w:hAnsi="Bookman Old Style"/>
          <w:sz w:val="21"/>
          <w:szCs w:val="21"/>
        </w:rPr>
        <w:t>Bimbingan Teknis</w:t>
      </w:r>
      <w:r w:rsidR="004B1E8D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>Kepaniteraan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6FCD71F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F15F20">
        <w:rPr>
          <w:rFonts w:ascii="Bookman Old Style" w:hAnsi="Bookman Old Style"/>
          <w:sz w:val="21"/>
          <w:szCs w:val="21"/>
        </w:rPr>
        <w:t xml:space="preserve">Panitia Pelaksana Bimbingan Teknis </w:t>
      </w:r>
      <w:r w:rsidR="008413B9">
        <w:rPr>
          <w:rFonts w:ascii="Bookman Old Style" w:hAnsi="Bookman Old Style" w:cs="Tahoma"/>
          <w:sz w:val="21"/>
          <w:szCs w:val="21"/>
        </w:rPr>
        <w:t>Kepaniteraan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5814EBB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Menyusun rencana pelaksanaan bimbingan teknis dan menyampaikannya kepada pimpinan Pengadilan Tinggi Agama Padang;</w:t>
      </w:r>
    </w:p>
    <w:p w14:paraId="1D8114E8" w14:textId="2CF6407A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pihak terkait tentang pemilihan dan penunjukan narasumber kegiatan bimbingan teknis;</w:t>
      </w:r>
    </w:p>
    <w:p w14:paraId="1574E734" w14:textId="77777777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5BD5437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segala sarana dan prasarana pelaksanaan bimbingan teknis;</w:t>
      </w:r>
    </w:p>
    <w:p w14:paraId="7FC3ABB8" w14:textId="7777777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Memberikan dukungan teknis dan non teknis serta mendokumentasi kegiatan bimbingan teknis;</w:t>
      </w:r>
    </w:p>
    <w:p w14:paraId="30A7F1BF" w14:textId="77A884DF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615361E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bimbingan teknis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2;</w:t>
      </w:r>
    </w:p>
    <w:p w14:paraId="720477B4" w14:textId="4A517BB9" w:rsidR="004B1E8D" w:rsidRPr="004B1E8D" w:rsidRDefault="004B1E8D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bimbingan teknis 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9C3">
        <w:rPr>
          <w:rFonts w:ascii="Bookman Old Style" w:hAnsi="Bookman Old Style" w:cs="Tahoma"/>
          <w:bCs/>
          <w:sz w:val="21"/>
          <w:szCs w:val="21"/>
        </w:rPr>
        <w:t>paling lambat 3 hari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setelah pelaksanaan bimbingan teknis;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8392D2F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  <w:r w:rsidR="001620CC" w:rsidRPr="001620CC">
        <w:rPr>
          <w:noProof/>
        </w:rPr>
        <w:t xml:space="preserve"> 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185DB784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2B7557">
        <w:rPr>
          <w:rFonts w:ascii="Bookman Old Style" w:hAnsi="Bookman Old Style"/>
          <w:sz w:val="21"/>
          <w:szCs w:val="21"/>
        </w:rPr>
        <w:t xml:space="preserve">     April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2B7557">
        <w:rPr>
          <w:rFonts w:ascii="Bookman Old Style" w:hAnsi="Bookman Old Style"/>
          <w:sz w:val="21"/>
          <w:szCs w:val="21"/>
          <w:lang w:val="en-ID"/>
        </w:rPr>
        <w:t>2</w:t>
      </w:r>
    </w:p>
    <w:p w14:paraId="1389F3B9" w14:textId="31079F40" w:rsidR="00F30E5C" w:rsidRPr="00A712B4" w:rsidRDefault="001620C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1620CC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B892E43" wp14:editId="7425C934">
            <wp:simplePos x="0" y="0"/>
            <wp:positionH relativeFrom="column">
              <wp:posOffset>3431821</wp:posOffset>
            </wp:positionH>
            <wp:positionV relativeFrom="paragraph">
              <wp:posOffset>247177</wp:posOffset>
            </wp:positionV>
            <wp:extent cx="1354455" cy="1308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E5C"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F30E5C"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5D6CCA4A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319954AC" w:rsidR="00F30E5C" w:rsidRPr="00A712B4" w:rsidRDefault="001620C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1620CC">
        <w:rPr>
          <w:rFonts w:ascii="Bookman Old Style" w:hAnsi="Bookman Old Style" w:cs="Tahoma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B7DFB36" wp14:editId="0E8F459F">
            <wp:simplePos x="0" y="0"/>
            <wp:positionH relativeFrom="column">
              <wp:posOffset>3125972</wp:posOffset>
            </wp:positionH>
            <wp:positionV relativeFrom="paragraph">
              <wp:posOffset>40448</wp:posOffset>
            </wp:positionV>
            <wp:extent cx="866775" cy="448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86677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307F0816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2B7557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2B7557">
        <w:rPr>
          <w:rFonts w:ascii="Bookman Old Style" w:hAnsi="Bookman Old Style"/>
          <w:sz w:val="20"/>
          <w:szCs w:val="20"/>
        </w:rPr>
        <w:t>4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2B7557">
        <w:rPr>
          <w:rFonts w:ascii="Bookman Old Style" w:hAnsi="Bookman Old Style"/>
          <w:sz w:val="20"/>
          <w:szCs w:val="20"/>
        </w:rPr>
        <w:t>2</w:t>
      </w:r>
    </w:p>
    <w:p w14:paraId="17833E38" w14:textId="056588C8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2B7557">
        <w:rPr>
          <w:rFonts w:ascii="Bookman Old Style" w:hAnsi="Bookman Old Style"/>
          <w:sz w:val="20"/>
          <w:szCs w:val="20"/>
        </w:rPr>
        <w:t xml:space="preserve">   APRIL</w:t>
      </w:r>
      <w:r w:rsidR="008413B9">
        <w:rPr>
          <w:rFonts w:ascii="Bookman Old Style" w:hAnsi="Bookman Old Style"/>
          <w:sz w:val="20"/>
          <w:szCs w:val="20"/>
        </w:rPr>
        <w:t xml:space="preserve"> 202</w:t>
      </w:r>
      <w:r w:rsidR="002B7557">
        <w:rPr>
          <w:rFonts w:ascii="Bookman Old Style" w:hAnsi="Bookman Old Style"/>
          <w:sz w:val="20"/>
          <w:szCs w:val="20"/>
        </w:rPr>
        <w:t>2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430D4D44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413B9">
        <w:rPr>
          <w:rFonts w:ascii="Bookman Old Style" w:hAnsi="Bookman Old Style"/>
          <w:sz w:val="21"/>
          <w:szCs w:val="21"/>
        </w:rPr>
        <w:t>KEPANITERAAN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3A8C746F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Abd. Khalik,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2E918715" w:rsidR="00BE48D5" w:rsidRPr="00BE48D5" w:rsidRDefault="002B7557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B755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Idris Latif, S.H., M.H.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0CF1B49E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Damris, S.H.</w:t>
            </w:r>
          </w:p>
        </w:tc>
      </w:tr>
      <w:tr w:rsidR="00BE48D5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35C5F4C5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Wakil Sekretaris</w:t>
            </w:r>
          </w:p>
        </w:tc>
        <w:tc>
          <w:tcPr>
            <w:tcW w:w="284" w:type="dxa"/>
            <w:shd w:val="clear" w:color="auto" w:fill="auto"/>
          </w:tcPr>
          <w:p w14:paraId="39712EE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5381" w:type="dxa"/>
          </w:tcPr>
          <w:p w14:paraId="4622259F" w14:textId="36D29B6C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 S.H.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6874A1D5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Fitrya Rafani, </w:t>
            </w:r>
            <w:proofErr w:type="gramStart"/>
            <w:r w:rsidR="00ED44B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="00FF7AC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0A3415" w:rsidRPr="00BE48D5" w14:paraId="541C40C3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FEBA287" w14:textId="77777777" w:rsidR="000A3415" w:rsidRPr="00BE48D5" w:rsidRDefault="000A341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DC6F82C" w14:textId="77777777" w:rsidR="000A3415" w:rsidRPr="00BE48D5" w:rsidRDefault="000A341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652B95BC" w14:textId="77777777" w:rsidR="000A3415" w:rsidRPr="00BE48D5" w:rsidRDefault="000A341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77C5C501" w:rsidR="00E9187D" w:rsidRPr="00BE48D5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Acara</w:t>
            </w:r>
          </w:p>
        </w:tc>
        <w:tc>
          <w:tcPr>
            <w:tcW w:w="284" w:type="dxa"/>
            <w:shd w:val="clear" w:color="auto" w:fill="auto"/>
          </w:tcPr>
          <w:p w14:paraId="47DC8080" w14:textId="177B65B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2A1F880" w14:textId="77777777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Faizal Roza, S.H.</w:t>
            </w:r>
          </w:p>
          <w:p w14:paraId="7AC73B4D" w14:textId="77777777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Hamzah</w:t>
            </w:r>
          </w:p>
          <w:p w14:paraId="329C6C4E" w14:textId="77777777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Rahmita, S.Ag.</w:t>
            </w:r>
          </w:p>
          <w:p w14:paraId="6CA5D5F9" w14:textId="7040968A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Yusnedi</w:t>
            </w:r>
          </w:p>
          <w:p w14:paraId="310EA200" w14:textId="77777777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Enjer Sades, S.H.</w:t>
            </w:r>
          </w:p>
          <w:p w14:paraId="1969AD3F" w14:textId="77777777" w:rsidR="007D173D" w:rsidRPr="007D173D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Daryamurni</w:t>
            </w:r>
          </w:p>
          <w:p w14:paraId="713A8617" w14:textId="4CA920E6" w:rsidR="00ED44BB" w:rsidRPr="00ED44BB" w:rsidRDefault="007D173D" w:rsidP="00916946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Listya Rahma, A.Md.</w:t>
            </w:r>
          </w:p>
        </w:tc>
      </w:tr>
      <w:tr w:rsidR="00430774" w:rsidRPr="00BE48D5" w14:paraId="50CBEDD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0CE44E8" w14:textId="77777777" w:rsidR="00430774" w:rsidRDefault="00430774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74363B1D" w14:textId="77777777" w:rsidR="00430774" w:rsidRDefault="00430774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5F86C8A3" w14:textId="77777777" w:rsidR="00430774" w:rsidRPr="007D173D" w:rsidRDefault="00430774" w:rsidP="00430774">
            <w:pPr>
              <w:pStyle w:val="ListParagraph"/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7D173D" w:rsidRPr="00BE48D5" w14:paraId="0AC183A4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0598D5D" w14:textId="4DF2F62E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Tamu</w:t>
            </w:r>
          </w:p>
        </w:tc>
        <w:tc>
          <w:tcPr>
            <w:tcW w:w="284" w:type="dxa"/>
            <w:shd w:val="clear" w:color="auto" w:fill="auto"/>
          </w:tcPr>
          <w:p w14:paraId="7690E938" w14:textId="379FA8E1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61EF267" w14:textId="77777777" w:rsidR="007D173D" w:rsidRP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Hj. Alifah, S.H.</w:t>
            </w:r>
          </w:p>
          <w:p w14:paraId="77A2D0C3" w14:textId="77777777" w:rsidR="007D173D" w:rsidRP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Syaiful Ashar, S.H.</w:t>
            </w:r>
          </w:p>
          <w:p w14:paraId="11DB8A54" w14:textId="77777777" w:rsidR="007D173D" w:rsidRP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Mulyani, S.H.</w:t>
            </w:r>
          </w:p>
          <w:p w14:paraId="668BCBD9" w14:textId="77777777" w:rsidR="007D173D" w:rsidRP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Nora Oktavia, S.H.</w:t>
            </w:r>
          </w:p>
          <w:p w14:paraId="385205DC" w14:textId="77777777" w:rsid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Kutung Saraini, S.Ag.</w:t>
            </w:r>
          </w:p>
          <w:p w14:paraId="7106E6FA" w14:textId="77777777" w:rsid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Yun Ridhwan, S.H.</w:t>
            </w:r>
          </w:p>
          <w:p w14:paraId="4F66DBBE" w14:textId="77777777" w:rsidR="007D173D" w:rsidRDefault="007D173D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 Harza, S.H.</w:t>
            </w:r>
          </w:p>
          <w:p w14:paraId="305011A4" w14:textId="2B69CE25" w:rsidR="00430774" w:rsidRPr="007D173D" w:rsidRDefault="00430774" w:rsidP="00916946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Jelsita Novi, S.H.</w:t>
            </w:r>
          </w:p>
        </w:tc>
      </w:tr>
      <w:tr w:rsidR="007D173D" w:rsidRPr="00BE48D5" w14:paraId="5C96A83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83CEBEB" w14:textId="77777777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74336079" w14:textId="77777777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208F472" w14:textId="77777777" w:rsidR="007D173D" w:rsidRDefault="007D173D" w:rsidP="007D173D">
            <w:pPr>
              <w:pStyle w:val="ListParagraph"/>
              <w:spacing w:after="0" w:line="288" w:lineRule="auto"/>
              <w:ind w:left="323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7D173D" w:rsidRPr="00BE48D5" w14:paraId="24EB7306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D18BBCB" w14:textId="359AAF70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Perlengkapan</w:t>
            </w:r>
          </w:p>
        </w:tc>
        <w:tc>
          <w:tcPr>
            <w:tcW w:w="284" w:type="dxa"/>
            <w:shd w:val="clear" w:color="auto" w:fill="auto"/>
          </w:tcPr>
          <w:p w14:paraId="58E910B1" w14:textId="031E9456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78DFDCD0" w14:textId="77777777" w:rsidR="007D173D" w:rsidRDefault="00430774" w:rsidP="00916946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 Handayani Rangkuti, S.H.</w:t>
            </w:r>
          </w:p>
          <w:p w14:paraId="68E91FF9" w14:textId="77777777" w:rsidR="00430774" w:rsidRDefault="00430774" w:rsidP="00916946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4EA6C070" w14:textId="77777777" w:rsidR="00430774" w:rsidRDefault="00430774" w:rsidP="00916946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Elham Sairosi</w:t>
            </w:r>
          </w:p>
          <w:p w14:paraId="00324E1E" w14:textId="6AFA80C4" w:rsidR="00430774" w:rsidRDefault="00430774" w:rsidP="00916946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 Nelindy, A.Md.</w:t>
            </w:r>
          </w:p>
        </w:tc>
      </w:tr>
      <w:tr w:rsidR="007D173D" w:rsidRPr="00BE48D5" w14:paraId="4BD091F9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16B0E08" w14:textId="77777777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30631BB" w14:textId="77777777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5FAEB131" w14:textId="77777777" w:rsidR="007D173D" w:rsidRDefault="007D173D" w:rsidP="007D173D">
            <w:pPr>
              <w:pStyle w:val="ListParagraph"/>
              <w:spacing w:after="0" w:line="288" w:lineRule="auto"/>
              <w:ind w:left="323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7D173D" w:rsidRPr="00BE48D5" w14:paraId="482682D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031B2575" w14:textId="26697AFB" w:rsidR="007D173D" w:rsidRDefault="007D173D" w:rsidP="00430774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Dokumentasi dan Publikasi</w:t>
            </w:r>
          </w:p>
        </w:tc>
        <w:tc>
          <w:tcPr>
            <w:tcW w:w="284" w:type="dxa"/>
            <w:shd w:val="clear" w:color="auto" w:fill="auto"/>
          </w:tcPr>
          <w:p w14:paraId="4378A2CA" w14:textId="472D5D7D" w:rsidR="007D173D" w:rsidRDefault="007D173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0A01ACD" w14:textId="77777777" w:rsidR="00430774" w:rsidRDefault="00430774" w:rsidP="0091694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3077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Muhammad Andi Purwanto, A.Md.T.</w:t>
            </w:r>
          </w:p>
          <w:p w14:paraId="0609FC73" w14:textId="4887E66F" w:rsidR="007D173D" w:rsidRDefault="007D173D" w:rsidP="0091694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Rinaldi Orlando, A.Md.A.B.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CF71" w14:textId="77777777" w:rsidR="00B4585E" w:rsidRDefault="00B4585E" w:rsidP="005D1196">
      <w:pPr>
        <w:spacing w:after="0" w:line="240" w:lineRule="auto"/>
      </w:pPr>
      <w:r>
        <w:separator/>
      </w:r>
    </w:p>
  </w:endnote>
  <w:endnote w:type="continuationSeparator" w:id="0">
    <w:p w14:paraId="549D4FE6" w14:textId="77777777" w:rsidR="00B4585E" w:rsidRDefault="00B4585E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D37" w14:textId="77777777" w:rsidR="00B4585E" w:rsidRDefault="00B4585E" w:rsidP="005D1196">
      <w:pPr>
        <w:spacing w:after="0" w:line="240" w:lineRule="auto"/>
      </w:pPr>
      <w:r>
        <w:separator/>
      </w:r>
    </w:p>
  </w:footnote>
  <w:footnote w:type="continuationSeparator" w:id="0">
    <w:p w14:paraId="279209F6" w14:textId="77777777" w:rsidR="00B4585E" w:rsidRDefault="00B4585E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034"/>
    <w:multiLevelType w:val="hybridMultilevel"/>
    <w:tmpl w:val="EAE28580"/>
    <w:lvl w:ilvl="0" w:tplc="79AE83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50187C45"/>
    <w:multiLevelType w:val="hybridMultilevel"/>
    <w:tmpl w:val="CF24520E"/>
    <w:lvl w:ilvl="0" w:tplc="1A1CE68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20E3518"/>
    <w:multiLevelType w:val="hybridMultilevel"/>
    <w:tmpl w:val="5004FE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5D53776F"/>
    <w:multiLevelType w:val="hybridMultilevel"/>
    <w:tmpl w:val="EF30C4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A3415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620CC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37333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B7557"/>
    <w:rsid w:val="002D2C56"/>
    <w:rsid w:val="002E72B3"/>
    <w:rsid w:val="00311774"/>
    <w:rsid w:val="00326572"/>
    <w:rsid w:val="0033676C"/>
    <w:rsid w:val="00343827"/>
    <w:rsid w:val="003477A1"/>
    <w:rsid w:val="003671F9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0774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D173D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16946"/>
    <w:rsid w:val="00920DEB"/>
    <w:rsid w:val="00922270"/>
    <w:rsid w:val="009232F5"/>
    <w:rsid w:val="0093064A"/>
    <w:rsid w:val="009315E7"/>
    <w:rsid w:val="00933BC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4585E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34559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1087A"/>
    <w:rsid w:val="00E162D6"/>
    <w:rsid w:val="00E34107"/>
    <w:rsid w:val="00E713BE"/>
    <w:rsid w:val="00E9187D"/>
    <w:rsid w:val="00EC523F"/>
    <w:rsid w:val="00ED44BB"/>
    <w:rsid w:val="00ED55F3"/>
    <w:rsid w:val="00ED605B"/>
    <w:rsid w:val="00EF09C3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059-CC7B-4D24-AB42-15995F5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20</cp:revision>
  <cp:lastPrinted>2022-04-21T02:00:00Z</cp:lastPrinted>
  <dcterms:created xsi:type="dcterms:W3CDTF">2021-09-23T08:35:00Z</dcterms:created>
  <dcterms:modified xsi:type="dcterms:W3CDTF">2022-04-21T02:00:00Z</dcterms:modified>
</cp:coreProperties>
</file>