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4795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6F34BB">
        <w:rPr>
          <w:rFonts w:ascii="Arial" w:hAnsi="Arial" w:cs="Arial"/>
        </w:rPr>
        <w:t>1483</w:t>
      </w:r>
      <w:r w:rsidR="000724C7">
        <w:rPr>
          <w:rFonts w:ascii="Arial" w:hAnsi="Arial" w:cs="Arial"/>
        </w:rPr>
        <w:t>.a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 xml:space="preserve">RA1.6/V/2024                           </w:t>
      </w:r>
      <w:r w:rsidR="00A45C78">
        <w:rPr>
          <w:rFonts w:ascii="Arial" w:hAnsi="Arial" w:cs="Arial"/>
        </w:rPr>
        <w:t xml:space="preserve">  </w:t>
      </w:r>
      <w:r w:rsidR="00C63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Padang,</w:t>
      </w:r>
      <w:r>
        <w:rPr>
          <w:rFonts w:ascii="Arial" w:hAnsi="Arial" w:cs="Arial"/>
          <w:lang w:val="id-ID"/>
        </w:rPr>
        <w:t xml:space="preserve"> </w:t>
      </w:r>
      <w:r w:rsidR="00AB056B">
        <w:rPr>
          <w:rFonts w:ascii="Arial" w:hAnsi="Arial" w:cs="Arial"/>
        </w:rPr>
        <w:t>3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Permohonan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0756C7" w:rsidRPr="00B118D8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PA </w:t>
      </w:r>
      <w:proofErr w:type="spellStart"/>
      <w:r w:rsidR="000F22D6">
        <w:rPr>
          <w:rFonts w:ascii="Arial" w:hAnsi="Arial" w:cs="Arial"/>
          <w:bCs/>
        </w:rPr>
        <w:t>Payakumbuh</w:t>
      </w:r>
      <w:proofErr w:type="spellEnd"/>
      <w:r w:rsidR="00AF2FA9">
        <w:rPr>
          <w:rFonts w:ascii="Arial" w:hAnsi="Arial" w:cs="Arial"/>
          <w:bCs/>
        </w:rPr>
        <w:t xml:space="preserve"> </w:t>
      </w:r>
      <w:r w:rsidR="00B120EC">
        <w:rPr>
          <w:rFonts w:ascii="Arial" w:hAnsi="Arial" w:cs="Arial"/>
          <w:bCs/>
        </w:rPr>
        <w:t>(</w:t>
      </w:r>
      <w:proofErr w:type="spellStart"/>
      <w:r w:rsidR="00B120EC">
        <w:rPr>
          <w:rFonts w:ascii="Arial" w:hAnsi="Arial" w:cs="Arial"/>
          <w:bCs/>
        </w:rPr>
        <w:t>Belanja</w:t>
      </w:r>
      <w:proofErr w:type="spellEnd"/>
      <w:r w:rsidR="00B120EC">
        <w:rPr>
          <w:rFonts w:ascii="Arial" w:hAnsi="Arial" w:cs="Arial"/>
          <w:bCs/>
        </w:rPr>
        <w:t xml:space="preserve"> Modal </w:t>
      </w:r>
      <w:proofErr w:type="spellStart"/>
      <w:r w:rsidR="00B120EC">
        <w:rPr>
          <w:rFonts w:ascii="Arial" w:hAnsi="Arial" w:cs="Arial"/>
          <w:bCs/>
        </w:rPr>
        <w:t>Fasilitas</w:t>
      </w:r>
      <w:proofErr w:type="spellEnd"/>
      <w:r w:rsidR="00B120EC">
        <w:rPr>
          <w:rFonts w:ascii="Arial" w:hAnsi="Arial" w:cs="Arial"/>
          <w:bCs/>
        </w:rPr>
        <w:t xml:space="preserve"> </w:t>
      </w:r>
      <w:proofErr w:type="spellStart"/>
      <w:r w:rsidR="00B120EC">
        <w:rPr>
          <w:rFonts w:ascii="Arial" w:hAnsi="Arial" w:cs="Arial"/>
          <w:bCs/>
        </w:rPr>
        <w:t>Perkantoran</w:t>
      </w:r>
      <w:proofErr w:type="spellEnd"/>
      <w:r w:rsidR="00B120EC">
        <w:rPr>
          <w:rFonts w:ascii="Arial" w:hAnsi="Arial" w:cs="Arial"/>
          <w:bCs/>
        </w:rPr>
        <w:t>)</w:t>
      </w:r>
    </w:p>
    <w:p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0756C7" w:rsidRDefault="00D84966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B118D8">
        <w:rPr>
          <w:rFonts w:ascii="Arial" w:hAnsi="Arial" w:cs="Arial"/>
          <w:bCs/>
        </w:rPr>
        <w:t>Keuangan</w:t>
      </w:r>
      <w:proofErr w:type="spellEnd"/>
    </w:p>
    <w:p w:rsidR="00DE6AEC" w:rsidRDefault="00B118D8" w:rsidP="00B118D8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</w:p>
    <w:p w:rsidR="00B118D8" w:rsidRPr="00B118D8" w:rsidRDefault="00B118D8" w:rsidP="00B118D8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BE1732" w:rsidRDefault="00BE1732">
      <w:pPr>
        <w:spacing w:after="120" w:line="360" w:lineRule="auto"/>
        <w:jc w:val="both"/>
        <w:rPr>
          <w:rFonts w:ascii="Arial" w:hAnsi="Arial" w:cs="Arial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AF2FA9">
        <w:rPr>
          <w:rFonts w:ascii="Arial" w:hAnsi="Arial" w:cs="Arial"/>
          <w:spacing w:val="-4"/>
        </w:rPr>
        <w:t>Payakumbuh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AF2FA9">
        <w:rPr>
          <w:rFonts w:ascii="Arial" w:hAnsi="Arial" w:cs="Arial"/>
          <w:spacing w:val="-4"/>
        </w:rPr>
        <w:t>84</w:t>
      </w:r>
      <w:r w:rsidR="00B120EC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  <w:lang w:val="id-ID"/>
        </w:rPr>
        <w:t>/</w:t>
      </w:r>
      <w:r w:rsidR="00AF2FA9"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AF2FA9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/</w:t>
      </w:r>
      <w:r w:rsidR="00AF2FA9">
        <w:rPr>
          <w:rFonts w:ascii="Arial" w:hAnsi="Arial" w:cs="Arial"/>
          <w:spacing w:val="-4"/>
        </w:rPr>
        <w:t>RA1.6</w:t>
      </w:r>
      <w:r>
        <w:rPr>
          <w:rFonts w:ascii="Arial" w:hAnsi="Arial" w:cs="Arial"/>
          <w:spacing w:val="-4"/>
        </w:rPr>
        <w:t xml:space="preserve">/IV/2024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>2</w:t>
      </w:r>
      <w:r>
        <w:rPr>
          <w:rFonts w:ascii="Arial" w:hAnsi="Arial" w:cs="Arial"/>
          <w:spacing w:val="-4"/>
        </w:rPr>
        <w:t xml:space="preserve"> </w:t>
      </w:r>
      <w:r w:rsidR="00AF2FA9">
        <w:rPr>
          <w:rFonts w:ascii="Arial" w:hAnsi="Arial" w:cs="Arial"/>
          <w:spacing w:val="-4"/>
        </w:rPr>
        <w:t xml:space="preserve">Mei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</w:p>
    <w:p w:rsidR="00B120EC" w:rsidRDefault="00B120EC" w:rsidP="00B120EC">
      <w:pPr>
        <w:pStyle w:val="ListParagraph"/>
        <w:ind w:left="284"/>
      </w:pPr>
      <w:proofErr w:type="spellStart"/>
      <w:r>
        <w:t>Kursi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proofErr w:type="spellStart"/>
      <w:r>
        <w:t>pencari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datang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Pengadilan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Payakumbuh</w:t>
      </w:r>
      <w:proofErr w:type="spellEnd"/>
      <w:r>
        <w:rPr>
          <w:spacing w:val="1"/>
        </w:rPr>
        <w:t xml:space="preserve"> </w:t>
      </w:r>
      <w:proofErr w:type="spellStart"/>
      <w:r>
        <w:t>ramai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banyaknya</w:t>
      </w:r>
      <w:proofErr w:type="spellEnd"/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duduk yang </w:t>
      </w:r>
      <w:proofErr w:type="spellStart"/>
      <w:r>
        <w:t>layak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duduk </w:t>
      </w:r>
      <w:proofErr w:type="spellStart"/>
      <w:r>
        <w:t>diemperan</w:t>
      </w:r>
      <w:proofErr w:type="spellEnd"/>
      <w:r>
        <w:t xml:space="preserve"> </w:t>
      </w:r>
      <w:proofErr w:type="spellStart"/>
      <w:r>
        <w:t>gedung</w:t>
      </w:r>
      <w:proofErr w:type="spellEnd"/>
      <w:r>
        <w:rPr>
          <w:spacing w:val="1"/>
        </w:rPr>
        <w:t xml:space="preserve"> </w:t>
      </w:r>
      <w:proofErr w:type="spellStart"/>
      <w:r>
        <w:t>Pengadilan</w:t>
      </w:r>
      <w:proofErr w:type="spellEnd"/>
      <w:r>
        <w:rPr>
          <w:spacing w:val="-3"/>
        </w:rPr>
        <w:t xml:space="preserve"> </w:t>
      </w:r>
      <w:r>
        <w:t xml:space="preserve">Agama </w:t>
      </w:r>
      <w:proofErr w:type="spellStart"/>
      <w:r>
        <w:t>Payakumbuh</w:t>
      </w:r>
      <w:proofErr w:type="spellEnd"/>
      <w:r>
        <w:t>.</w:t>
      </w:r>
    </w:p>
    <w:p w:rsidR="00B120EC" w:rsidRDefault="00B120EC" w:rsidP="00B120EC">
      <w:pPr>
        <w:pStyle w:val="ListParagraph"/>
        <w:ind w:left="284"/>
      </w:pPr>
      <w:proofErr w:type="spellStart"/>
      <w:r>
        <w:t>Kursi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PTSP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rusak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PTSP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-1"/>
        </w:rP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rPr>
          <w:spacing w:val="2"/>
        </w:rPr>
        <w:t xml:space="preserve"> </w:t>
      </w:r>
      <w:proofErr w:type="spellStart"/>
      <w:r>
        <w:t>pelayanan</w:t>
      </w:r>
      <w:proofErr w:type="spellEnd"/>
      <w:r>
        <w:rPr>
          <w:spacing w:val="3"/>
        </w:rP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B120EC" w:rsidRDefault="00B120EC" w:rsidP="00B120EC">
      <w:pPr>
        <w:pStyle w:val="ListParagraph"/>
        <w:ind w:left="284"/>
      </w:pPr>
      <w:proofErr w:type="spellStart"/>
      <w:r>
        <w:t>Pengadilan</w:t>
      </w:r>
      <w:proofErr w:type="spellEnd"/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proofErr w:type="spellStart"/>
      <w:r>
        <w:t>Payakumbuh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lemari</w:t>
      </w:r>
      <w:proofErr w:type="spellEnd"/>
      <w:r>
        <w:rPr>
          <w:spacing w:val="1"/>
        </w:rPr>
        <w:t xml:space="preserve"> </w:t>
      </w:r>
      <w:r>
        <w:t>(mobile</w:t>
      </w:r>
      <w:r>
        <w:rPr>
          <w:spacing w:val="1"/>
        </w:rPr>
        <w:t xml:space="preserve"> </w:t>
      </w:r>
      <w:r>
        <w:t>file)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menyimpan</w:t>
      </w:r>
      <w:proofErr w:type="spellEnd"/>
      <w:r>
        <w:rPr>
          <w:spacing w:val="1"/>
        </w:rPr>
        <w:t xml:space="preserve"> </w:t>
      </w:r>
      <w:proofErr w:type="spellStart"/>
      <w:r>
        <w:t>arsip</w:t>
      </w:r>
      <w:proofErr w:type="spellEnd"/>
      <w:r>
        <w:rPr>
          <w:spacing w:val="1"/>
        </w:rPr>
        <w:t xml:space="preserve"> </w:t>
      </w:r>
      <w:proofErr w:type="spellStart"/>
      <w:r>
        <w:t>berkas</w:t>
      </w:r>
      <w:proofErr w:type="spellEnd"/>
      <w:r>
        <w:rPr>
          <w:spacing w:val="1"/>
        </w:rP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per </w:t>
      </w:r>
      <w:proofErr w:type="spellStart"/>
      <w:r>
        <w:t>tahun</w:t>
      </w:r>
      <w:proofErr w:type="spellEnd"/>
      <w:r>
        <w:t xml:space="preserve"> rata-rata </w:t>
      </w:r>
      <w:proofErr w:type="spellStart"/>
      <w:r>
        <w:t>lebih</w:t>
      </w:r>
      <w:proofErr w:type="spellEnd"/>
      <w:r>
        <w:t xml:space="preserve"> kurang850</w:t>
      </w:r>
      <w:r>
        <w:rPr>
          <w:spacing w:val="1"/>
        </w:rPr>
        <w:t xml:space="preserve"> </w:t>
      </w:r>
      <w:proofErr w:type="spellStart"/>
      <w:r>
        <w:t>perkara</w:t>
      </w:r>
      <w:proofErr w:type="spellEnd"/>
      <w:r>
        <w:t>.</w:t>
      </w:r>
    </w:p>
    <w:p w:rsidR="00B120EC" w:rsidRDefault="00B120EC" w:rsidP="00B120EC">
      <w:pPr>
        <w:pStyle w:val="ListParagraph"/>
        <w:ind w:left="284"/>
      </w:pP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lemari</w:t>
      </w:r>
      <w:proofErr w:type="spellEnd"/>
      <w:r>
        <w:t xml:space="preserve"> ATK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/ATK </w:t>
      </w:r>
      <w:proofErr w:type="spellStart"/>
      <w:r>
        <w:t>baik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kesekretariatan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kepaniteraan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/ATK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tertata</w:t>
      </w:r>
      <w:proofErr w:type="spellEnd"/>
      <w:r>
        <w:t xml:space="preserve"> dan </w:t>
      </w:r>
      <w:proofErr w:type="spellStart"/>
      <w:r>
        <w:t>tersimpan</w:t>
      </w:r>
      <w:proofErr w:type="spellEnd"/>
      <w:r>
        <w:rPr>
          <w:spacing w:val="-4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rapi</w:t>
      </w:r>
      <w:proofErr w:type="spellEnd"/>
      <w:r>
        <w:rPr>
          <w:spacing w:val="-2"/>
        </w:rPr>
        <w:t xml:space="preserve"> </w:t>
      </w:r>
      <w:proofErr w:type="spellStart"/>
      <w:r>
        <w:t>serta</w:t>
      </w:r>
      <w:proofErr w:type="spellEnd"/>
      <w:r>
        <w:rPr>
          <w:spacing w:val="2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tersimpan</w:t>
      </w:r>
      <w:proofErr w:type="spellEnd"/>
      <w:r>
        <w:rPr>
          <w:spacing w:val="2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satu</w:t>
      </w:r>
      <w:proofErr w:type="spellEnd"/>
      <w:r>
        <w:rPr>
          <w:spacing w:val="-1"/>
        </w:rPr>
        <w:t xml:space="preserve"> </w:t>
      </w:r>
      <w:proofErr w:type="spellStart"/>
      <w:r>
        <w:t>tempat</w:t>
      </w:r>
      <w:proofErr w:type="spellEnd"/>
      <w:r>
        <w:t>.</w:t>
      </w:r>
    </w:p>
    <w:p w:rsidR="00B120EC" w:rsidRPr="00B120EC" w:rsidRDefault="00B120EC" w:rsidP="000724C7">
      <w:pPr>
        <w:pStyle w:val="ListParagraph"/>
        <w:ind w:left="284"/>
      </w:pP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 xml:space="preserve"> Kelas IB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lemari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toga Hakim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togaHakim</w:t>
      </w:r>
      <w:proofErr w:type="spellEnd"/>
      <w:r>
        <w:rPr>
          <w:spacing w:val="1"/>
        </w:rPr>
        <w:t xml:space="preserve"> </w:t>
      </w:r>
      <w:proofErr w:type="spellStart"/>
      <w:r>
        <w:t>disimpan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laci</w:t>
      </w:r>
      <w:proofErr w:type="spellEnd"/>
      <w:r>
        <w:rPr>
          <w:spacing w:val="-3"/>
        </w:rPr>
        <w:t xml:space="preserve"> </w:t>
      </w:r>
      <w:proofErr w:type="spellStart"/>
      <w:r>
        <w:t>meja</w:t>
      </w:r>
      <w:proofErr w:type="spellEnd"/>
      <w:r>
        <w:t xml:space="preserve"> </w:t>
      </w:r>
      <w:proofErr w:type="spellStart"/>
      <w:r>
        <w:t>saja</w:t>
      </w:r>
      <w:proofErr w:type="spellEnd"/>
      <w:r>
        <w:rPr>
          <w:spacing w:val="-1"/>
        </w:rPr>
        <w:t xml:space="preserve"> </w:t>
      </w:r>
      <w:proofErr w:type="spellStart"/>
      <w:r>
        <w:t>mengakibatkan</w:t>
      </w:r>
      <w:proofErr w:type="spellEnd"/>
      <w:r>
        <w:rPr>
          <w:spacing w:val="-1"/>
        </w:rPr>
        <w:t xml:space="preserve"> </w:t>
      </w:r>
      <w:r>
        <w:t>toga</w:t>
      </w:r>
      <w:r>
        <w:rPr>
          <w:spacing w:val="1"/>
        </w:rPr>
        <w:t xml:space="preserve"> </w:t>
      </w:r>
      <w:r>
        <w:t>hakim</w:t>
      </w:r>
      <w:r>
        <w:rPr>
          <w:spacing w:val="-2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tersimpan</w:t>
      </w:r>
      <w:proofErr w:type="spellEnd"/>
      <w:r>
        <w:rPr>
          <w:spacing w:val="3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  <w:bookmarkStart w:id="0" w:name="_GoBack"/>
      <w:bookmarkEnd w:id="0"/>
    </w:p>
    <w:p w:rsidR="00C63B45" w:rsidRDefault="00D84966" w:rsidP="00BE1732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lastRenderedPageBreak/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W w:w="9642" w:type="dxa"/>
        <w:tblInd w:w="-5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4183"/>
        <w:gridCol w:w="888"/>
        <w:gridCol w:w="888"/>
        <w:gridCol w:w="1006"/>
        <w:gridCol w:w="1004"/>
      </w:tblGrid>
      <w:tr w:rsidR="00B120EC" w:rsidTr="00B120EC">
        <w:trPr>
          <w:trHeight w:val="515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4"/>
              <w:rPr>
                <w:rFonts w:ascii="Cambria"/>
                <w:sz w:val="14"/>
              </w:rPr>
            </w:pPr>
          </w:p>
          <w:p w:rsidR="00B120EC" w:rsidRDefault="00B120EC" w:rsidP="0047352C">
            <w:pPr>
              <w:pStyle w:val="TableParagraph"/>
              <w:spacing w:before="0"/>
              <w:ind w:left="634" w:right="60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Kode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spacing w:before="4"/>
              <w:rPr>
                <w:rFonts w:ascii="Cambria"/>
                <w:sz w:val="14"/>
              </w:rPr>
            </w:pPr>
          </w:p>
          <w:p w:rsidR="00B120EC" w:rsidRDefault="00B120EC" w:rsidP="0047352C">
            <w:pPr>
              <w:pStyle w:val="TableParagraph"/>
              <w:spacing w:before="0"/>
              <w:ind w:left="13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77" w:line="254" w:lineRule="auto"/>
              <w:ind w:left="131" w:right="88" w:firstLine="4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Volume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Kegiatan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77" w:line="254" w:lineRule="auto"/>
              <w:ind w:left="131" w:right="88" w:firstLine="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Satuan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Kegiatan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77" w:line="254" w:lineRule="auto"/>
              <w:ind w:left="258" w:right="212" w:firstLine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Harga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Satuan</w:t>
            </w:r>
          </w:p>
        </w:tc>
        <w:tc>
          <w:tcPr>
            <w:tcW w:w="1004" w:type="dxa"/>
            <w:tcBorders>
              <w:bottom w:val="nil"/>
            </w:tcBorders>
          </w:tcPr>
          <w:p w:rsidR="00B120EC" w:rsidRDefault="00B120EC" w:rsidP="0047352C">
            <w:pPr>
              <w:pStyle w:val="TableParagraph"/>
              <w:spacing w:before="4"/>
              <w:rPr>
                <w:rFonts w:ascii="Cambria"/>
                <w:sz w:val="14"/>
              </w:rPr>
            </w:pPr>
          </w:p>
          <w:p w:rsidR="00B120EC" w:rsidRDefault="00B120EC" w:rsidP="0047352C">
            <w:pPr>
              <w:pStyle w:val="TableParagraph"/>
              <w:spacing w:before="0"/>
              <w:ind w:left="111" w:right="8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Jumlah</w:t>
            </w: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  <w:gridSpan w:val="2"/>
            <w:tcBorders>
              <w:top w:val="nil"/>
              <w:right w:val="nil"/>
            </w:tcBorders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515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4"/>
              <w:rPr>
                <w:rFonts w:ascii="Cambria"/>
                <w:sz w:val="14"/>
              </w:rPr>
            </w:pPr>
          </w:p>
          <w:p w:rsidR="00B120EC" w:rsidRDefault="00B120EC" w:rsidP="0047352C">
            <w:pPr>
              <w:pStyle w:val="TableParagraph"/>
              <w:spacing w:before="0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spacing w:line="249" w:lineRule="auto"/>
              <w:ind w:left="131" w:right="722"/>
              <w:rPr>
                <w:sz w:val="15"/>
              </w:rPr>
            </w:pPr>
            <w:r>
              <w:rPr>
                <w:sz w:val="15"/>
              </w:rPr>
              <w:t>Pengadaan Sarana dan Prasarana di Lingkungan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ind w:left="431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1071.EBB.951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332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ind w:left="634" w:right="581"/>
              <w:jc w:val="center"/>
              <w:rPr>
                <w:sz w:val="15"/>
              </w:rPr>
            </w:pPr>
            <w:r>
              <w:rPr>
                <w:sz w:val="15"/>
              </w:rPr>
              <w:t>053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peralatan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fasilitas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perkantoran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ind w:left="20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2"/>
              <w:rPr>
                <w:sz w:val="15"/>
              </w:rPr>
            </w:pPr>
            <w:r>
              <w:rPr>
                <w:sz w:val="15"/>
              </w:rPr>
              <w:t>Peralatan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Fasilitas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Perkantoran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532111</w:t>
            </w: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0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Peralatan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Mesin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Kursi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Ruang Tunggu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Sidang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40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296" w:right="270"/>
              <w:jc w:val="center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ind w:left="113" w:right="3"/>
              <w:jc w:val="center"/>
              <w:rPr>
                <w:sz w:val="15"/>
              </w:rPr>
            </w:pPr>
            <w:r>
              <w:rPr>
                <w:sz w:val="15"/>
              </w:rPr>
              <w:t>6,180,000</w:t>
            </w: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ind w:left="114" w:right="84"/>
              <w:jc w:val="center"/>
              <w:rPr>
                <w:sz w:val="15"/>
              </w:rPr>
            </w:pPr>
            <w:r>
              <w:rPr>
                <w:sz w:val="15"/>
              </w:rPr>
              <w:t>24,720,000</w:t>
            </w: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Kursi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Pegawai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408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296" w:right="270"/>
              <w:jc w:val="center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ind w:left="113" w:right="3"/>
              <w:jc w:val="center"/>
              <w:rPr>
                <w:sz w:val="15"/>
              </w:rPr>
            </w:pPr>
            <w:r>
              <w:rPr>
                <w:sz w:val="15"/>
              </w:rPr>
              <w:t>3,040,000</w:t>
            </w: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ind w:left="114" w:right="84"/>
              <w:jc w:val="center"/>
              <w:rPr>
                <w:sz w:val="15"/>
              </w:rPr>
            </w:pPr>
            <w:r>
              <w:rPr>
                <w:sz w:val="15"/>
              </w:rPr>
              <w:t>18,240,000</w:t>
            </w:r>
          </w:p>
        </w:tc>
      </w:tr>
      <w:tr w:rsidR="00B120EC" w:rsidTr="00B120EC">
        <w:trPr>
          <w:trHeight w:val="332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Kursi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Rapat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36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296" w:right="270"/>
              <w:jc w:val="center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ind w:left="113" w:right="3"/>
              <w:jc w:val="center"/>
              <w:rPr>
                <w:sz w:val="15"/>
              </w:rPr>
            </w:pPr>
            <w:r>
              <w:rPr>
                <w:sz w:val="15"/>
              </w:rPr>
              <w:t>1,466,000</w:t>
            </w: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ind w:left="114" w:right="84"/>
              <w:jc w:val="center"/>
              <w:rPr>
                <w:sz w:val="15"/>
              </w:rPr>
            </w:pPr>
            <w:r>
              <w:rPr>
                <w:sz w:val="15"/>
              </w:rPr>
              <w:t>14,660,000</w:t>
            </w: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Mobile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File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40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296" w:right="270"/>
              <w:jc w:val="center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ind w:left="113" w:right="86"/>
              <w:jc w:val="center"/>
              <w:rPr>
                <w:sz w:val="15"/>
              </w:rPr>
            </w:pPr>
            <w:r>
              <w:rPr>
                <w:sz w:val="15"/>
              </w:rPr>
              <w:t>64,315,000</w:t>
            </w: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ind w:left="114" w:right="84"/>
              <w:jc w:val="center"/>
              <w:rPr>
                <w:sz w:val="15"/>
              </w:rPr>
            </w:pPr>
            <w:r>
              <w:rPr>
                <w:sz w:val="15"/>
              </w:rPr>
              <w:t>64,315,000</w:t>
            </w:r>
          </w:p>
        </w:tc>
      </w:tr>
      <w:tr w:rsidR="00B120EC" w:rsidTr="00B120EC">
        <w:trPr>
          <w:trHeight w:val="333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Lemari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ATK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40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296" w:right="270"/>
              <w:jc w:val="center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ind w:left="113" w:right="3"/>
              <w:jc w:val="center"/>
              <w:rPr>
                <w:sz w:val="15"/>
              </w:rPr>
            </w:pPr>
            <w:r>
              <w:rPr>
                <w:sz w:val="15"/>
              </w:rPr>
              <w:t>4,975,000</w:t>
            </w: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ind w:left="114" w:right="2"/>
              <w:jc w:val="center"/>
              <w:rPr>
                <w:sz w:val="15"/>
              </w:rPr>
            </w:pPr>
            <w:r>
              <w:rPr>
                <w:sz w:val="15"/>
              </w:rPr>
              <w:t>9,950,000</w:t>
            </w:r>
          </w:p>
        </w:tc>
      </w:tr>
      <w:tr w:rsidR="00B120EC" w:rsidTr="00B120EC">
        <w:trPr>
          <w:trHeight w:val="332"/>
        </w:trPr>
        <w:tc>
          <w:tcPr>
            <w:tcW w:w="1673" w:type="dxa"/>
          </w:tcPr>
          <w:p w:rsidR="00B120EC" w:rsidRDefault="00B120EC" w:rsidP="0047352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183" w:type="dxa"/>
          </w:tcPr>
          <w:p w:rsidR="00B120EC" w:rsidRDefault="00B120EC" w:rsidP="0047352C"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Lemari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Toga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Hakim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40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B120EC" w:rsidRDefault="00B120EC" w:rsidP="0047352C">
            <w:pPr>
              <w:pStyle w:val="TableParagraph"/>
              <w:ind w:left="296" w:right="270"/>
              <w:jc w:val="center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06" w:type="dxa"/>
          </w:tcPr>
          <w:p w:rsidR="00B120EC" w:rsidRDefault="00B120EC" w:rsidP="0047352C">
            <w:pPr>
              <w:pStyle w:val="TableParagraph"/>
              <w:ind w:left="113" w:right="3"/>
              <w:jc w:val="center"/>
              <w:rPr>
                <w:sz w:val="15"/>
              </w:rPr>
            </w:pPr>
            <w:r>
              <w:rPr>
                <w:sz w:val="15"/>
              </w:rPr>
              <w:t>7,700,000</w:t>
            </w:r>
          </w:p>
        </w:tc>
        <w:tc>
          <w:tcPr>
            <w:tcW w:w="1004" w:type="dxa"/>
          </w:tcPr>
          <w:p w:rsidR="00B120EC" w:rsidRDefault="00B120EC" w:rsidP="0047352C">
            <w:pPr>
              <w:pStyle w:val="TableParagraph"/>
              <w:ind w:left="114" w:right="2"/>
              <w:jc w:val="center"/>
              <w:rPr>
                <w:sz w:val="15"/>
              </w:rPr>
            </w:pPr>
            <w:r>
              <w:rPr>
                <w:sz w:val="15"/>
              </w:rPr>
              <w:t>7,700,000</w:t>
            </w:r>
          </w:p>
        </w:tc>
      </w:tr>
    </w:tbl>
    <w:p w:rsidR="000756C7" w:rsidRDefault="000756C7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Pr="00B120EC" w:rsidRDefault="00D84966" w:rsidP="00B120EC">
      <w:pPr>
        <w:ind w:left="504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</w:t>
      </w:r>
    </w:p>
    <w:p w:rsidR="000756C7" w:rsidRDefault="00D84966">
      <w:pPr>
        <w:ind w:left="-4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D8496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376263" w:rsidRDefault="00376263">
      <w:pPr>
        <w:jc w:val="both"/>
        <w:rPr>
          <w:rFonts w:ascii="Arial" w:hAnsi="Arial" w:cs="Arial"/>
        </w:rPr>
      </w:pPr>
    </w:p>
    <w:p w:rsidR="000756C7" w:rsidRDefault="000756C7" w:rsidP="00B120EC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 w:rsidP="00B120EC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96C6E74"/>
    <w:multiLevelType w:val="hybridMultilevel"/>
    <w:tmpl w:val="DBD4D9A8"/>
    <w:lvl w:ilvl="0" w:tplc="901AB0AE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0B02E1"/>
    <w:multiLevelType w:val="hybridMultilevel"/>
    <w:tmpl w:val="4DAE8F44"/>
    <w:lvl w:ilvl="0" w:tplc="90F48C5C">
      <w:start w:val="1"/>
      <w:numFmt w:val="decimal"/>
      <w:lvlText w:val="%1."/>
      <w:lvlJc w:val="left"/>
      <w:pPr>
        <w:ind w:left="737" w:hanging="207"/>
      </w:pPr>
      <w:rPr>
        <w:rFonts w:ascii="Cambria" w:eastAsia="Cambria" w:hAnsi="Cambria" w:cs="Cambria" w:hint="default"/>
        <w:spacing w:val="-1"/>
        <w:w w:val="99"/>
        <w:sz w:val="20"/>
        <w:szCs w:val="20"/>
        <w:lang w:val="ms" w:eastAsia="en-US" w:bidi="ar-SA"/>
      </w:rPr>
    </w:lvl>
    <w:lvl w:ilvl="1" w:tplc="2B62CE1A">
      <w:numFmt w:val="bullet"/>
      <w:lvlText w:val="•"/>
      <w:lvlJc w:val="left"/>
      <w:pPr>
        <w:ind w:left="1686" w:hanging="207"/>
      </w:pPr>
      <w:rPr>
        <w:rFonts w:hint="default"/>
        <w:lang w:val="ms" w:eastAsia="en-US" w:bidi="ar-SA"/>
      </w:rPr>
    </w:lvl>
    <w:lvl w:ilvl="2" w:tplc="61BE4180">
      <w:numFmt w:val="bullet"/>
      <w:lvlText w:val="•"/>
      <w:lvlJc w:val="left"/>
      <w:pPr>
        <w:ind w:left="2633" w:hanging="207"/>
      </w:pPr>
      <w:rPr>
        <w:rFonts w:hint="default"/>
        <w:lang w:val="ms" w:eastAsia="en-US" w:bidi="ar-SA"/>
      </w:rPr>
    </w:lvl>
    <w:lvl w:ilvl="3" w:tplc="520AAFCC">
      <w:numFmt w:val="bullet"/>
      <w:lvlText w:val="•"/>
      <w:lvlJc w:val="left"/>
      <w:pPr>
        <w:ind w:left="3579" w:hanging="207"/>
      </w:pPr>
      <w:rPr>
        <w:rFonts w:hint="default"/>
        <w:lang w:val="ms" w:eastAsia="en-US" w:bidi="ar-SA"/>
      </w:rPr>
    </w:lvl>
    <w:lvl w:ilvl="4" w:tplc="994206D4">
      <w:numFmt w:val="bullet"/>
      <w:lvlText w:val="•"/>
      <w:lvlJc w:val="left"/>
      <w:pPr>
        <w:ind w:left="4526" w:hanging="207"/>
      </w:pPr>
      <w:rPr>
        <w:rFonts w:hint="default"/>
        <w:lang w:val="ms" w:eastAsia="en-US" w:bidi="ar-SA"/>
      </w:rPr>
    </w:lvl>
    <w:lvl w:ilvl="5" w:tplc="5BAC5FAE">
      <w:numFmt w:val="bullet"/>
      <w:lvlText w:val="•"/>
      <w:lvlJc w:val="left"/>
      <w:pPr>
        <w:ind w:left="5473" w:hanging="207"/>
      </w:pPr>
      <w:rPr>
        <w:rFonts w:hint="default"/>
        <w:lang w:val="ms" w:eastAsia="en-US" w:bidi="ar-SA"/>
      </w:rPr>
    </w:lvl>
    <w:lvl w:ilvl="6" w:tplc="ED5432D4">
      <w:numFmt w:val="bullet"/>
      <w:lvlText w:val="•"/>
      <w:lvlJc w:val="left"/>
      <w:pPr>
        <w:ind w:left="6419" w:hanging="207"/>
      </w:pPr>
      <w:rPr>
        <w:rFonts w:hint="default"/>
        <w:lang w:val="ms" w:eastAsia="en-US" w:bidi="ar-SA"/>
      </w:rPr>
    </w:lvl>
    <w:lvl w:ilvl="7" w:tplc="80C46510">
      <w:numFmt w:val="bullet"/>
      <w:lvlText w:val="•"/>
      <w:lvlJc w:val="left"/>
      <w:pPr>
        <w:ind w:left="7366" w:hanging="207"/>
      </w:pPr>
      <w:rPr>
        <w:rFonts w:hint="default"/>
        <w:lang w:val="ms" w:eastAsia="en-US" w:bidi="ar-SA"/>
      </w:rPr>
    </w:lvl>
    <w:lvl w:ilvl="8" w:tplc="A67A4252">
      <w:numFmt w:val="bullet"/>
      <w:lvlText w:val="•"/>
      <w:lvlJc w:val="left"/>
      <w:pPr>
        <w:ind w:left="8313" w:hanging="207"/>
      </w:pPr>
      <w:rPr>
        <w:rFonts w:hint="default"/>
        <w:lang w:val="ms" w:eastAsia="en-US" w:bidi="ar-SA"/>
      </w:rPr>
    </w:lvl>
  </w:abstractNum>
  <w:abstractNum w:abstractNumId="3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00791"/>
    <w:multiLevelType w:val="hybridMultilevel"/>
    <w:tmpl w:val="F298536E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24C7"/>
    <w:rsid w:val="0007474D"/>
    <w:rsid w:val="000756C7"/>
    <w:rsid w:val="000B03A3"/>
    <w:rsid w:val="000B271D"/>
    <w:rsid w:val="000F22D6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4430F"/>
    <w:rsid w:val="00471B61"/>
    <w:rsid w:val="00472459"/>
    <w:rsid w:val="004F658F"/>
    <w:rsid w:val="005320D5"/>
    <w:rsid w:val="00545591"/>
    <w:rsid w:val="005B3850"/>
    <w:rsid w:val="005D6231"/>
    <w:rsid w:val="00683AAE"/>
    <w:rsid w:val="006B235E"/>
    <w:rsid w:val="006E6376"/>
    <w:rsid w:val="006F34BB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B056B"/>
    <w:rsid w:val="00AC0108"/>
    <w:rsid w:val="00AC671A"/>
    <w:rsid w:val="00AE00D3"/>
    <w:rsid w:val="00AF2FA9"/>
    <w:rsid w:val="00B11464"/>
    <w:rsid w:val="00B118D8"/>
    <w:rsid w:val="00B120EC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5CF8"/>
    <w:rsid w:val="00DD690B"/>
    <w:rsid w:val="00DE6AEC"/>
    <w:rsid w:val="00E71433"/>
    <w:rsid w:val="00E92314"/>
    <w:rsid w:val="00EE074E"/>
    <w:rsid w:val="00EF7837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17F2D6E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B120EC"/>
    <w:pPr>
      <w:numPr>
        <w:numId w:val="5"/>
      </w:numPr>
      <w:spacing w:line="360" w:lineRule="auto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120EC"/>
    <w:pPr>
      <w:widowControl w:val="0"/>
      <w:autoSpaceDE w:val="0"/>
      <w:autoSpaceDN w:val="0"/>
      <w:spacing w:before="79"/>
    </w:pPr>
    <w:rPr>
      <w:rFonts w:ascii="Arial MT" w:eastAsia="Arial MT" w:hAnsi="Arial MT" w:cs="Arial MT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26BA6-485B-47DC-BD7C-A29C676E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27</cp:revision>
  <cp:lastPrinted>2024-05-03T10:03:00Z</cp:lastPrinted>
  <dcterms:created xsi:type="dcterms:W3CDTF">2023-09-27T02:39:00Z</dcterms:created>
  <dcterms:modified xsi:type="dcterms:W3CDTF">2024-06-04T06:36:00Z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