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43C1821D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A6582E">
        <w:rPr>
          <w:rFonts w:asciiTheme="majorHAnsi" w:hAnsiTheme="majorHAnsi" w:cs="Arial"/>
          <w:sz w:val="20"/>
          <w:szCs w:val="20"/>
        </w:rPr>
        <w:t>V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6254B45C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D3782C">
        <w:rPr>
          <w:rFonts w:ascii="Cambria" w:hAnsi="Cambria" w:cs="Arial"/>
          <w:b/>
          <w:sz w:val="20"/>
          <w:szCs w:val="20"/>
          <w:lang w:val="id-ID"/>
        </w:rPr>
        <w:t>PENGADILAN AGAMA BUKITTINGGI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7543BA01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38C7BE8C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49433F5D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Bukittinggi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D3782C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09878962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D3782C">
        <w:rPr>
          <w:rFonts w:ascii="Cambria" w:hAnsi="Cambria" w:cs="Arial"/>
          <w:sz w:val="20"/>
          <w:szCs w:val="20"/>
        </w:rPr>
        <w:t>26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C41C34">
        <w:rPr>
          <w:rFonts w:ascii="Cambria" w:hAnsi="Cambria" w:cs="Arial"/>
          <w:sz w:val="20"/>
          <w:szCs w:val="20"/>
        </w:rPr>
        <w:t>Mei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bookmarkStart w:id="0" w:name="_GoBack"/>
      <w:bookmarkEnd w:id="0"/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7A1B375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sz w:val="20"/>
          <w:szCs w:val="20"/>
        </w:rPr>
        <w:t>1381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A6582E">
        <w:rPr>
          <w:rFonts w:ascii="Cambria" w:hAnsi="Cambria" w:cs="Arial"/>
          <w:b/>
          <w:sz w:val="20"/>
          <w:szCs w:val="20"/>
          <w:lang w:val="en-ID"/>
        </w:rPr>
        <w:t>V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435C069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bCs/>
          <w:sz w:val="20"/>
          <w:szCs w:val="20"/>
        </w:rPr>
        <w:t>19</w:t>
      </w:r>
      <w:r w:rsidR="00A6582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41C34">
        <w:rPr>
          <w:rFonts w:ascii="Cambria" w:hAnsi="Cambria" w:cs="Arial"/>
          <w:b/>
          <w:bCs/>
          <w:sz w:val="20"/>
          <w:szCs w:val="20"/>
        </w:rPr>
        <w:t>Mei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B165B83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D3782C">
        <w:rPr>
          <w:rFonts w:ascii="Cambria" w:hAnsi="Cambria" w:cs="Arial"/>
          <w:b/>
          <w:bCs/>
          <w:sz w:val="20"/>
          <w:szCs w:val="20"/>
        </w:rPr>
        <w:t>PENGADILAN AGAMA BUKITTINGGI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59B067BF" w:rsidR="00A6582E" w:rsidRPr="00C41C34" w:rsidRDefault="00C41C34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Alisman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S.Ag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0AA470E9" w14:textId="66FA0A4E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</w:t>
            </w:r>
            <w:r w:rsidR="00C41C34">
              <w:rPr>
                <w:sz w:val="20"/>
                <w:lang w:val="id-ID"/>
              </w:rPr>
              <w:t>7005181997031002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6B4A08F1" w:rsidR="00A6582E" w:rsidRDefault="00C41C34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 Tk I / (IV/b)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4F2F3D55" w:rsidR="00A6582E" w:rsidRPr="00C41C34" w:rsidRDefault="00C41C34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Sil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Melayeni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Agus</w:t>
            </w:r>
            <w:proofErr w:type="spellEnd"/>
            <w:r>
              <w:rPr>
                <w:sz w:val="20"/>
                <w:lang w:val="en-US"/>
              </w:rPr>
              <w:t>, S.H.</w:t>
            </w:r>
          </w:p>
          <w:p w14:paraId="0008DC7E" w14:textId="51252402" w:rsidR="00A6582E" w:rsidRPr="00C41C34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C41C34">
              <w:rPr>
                <w:sz w:val="20"/>
                <w:lang w:val="id-ID"/>
              </w:rPr>
              <w:t>197901192003122001</w:t>
            </w:r>
          </w:p>
        </w:tc>
        <w:tc>
          <w:tcPr>
            <w:tcW w:w="4557" w:type="dxa"/>
          </w:tcPr>
          <w:p w14:paraId="6EFF6E97" w14:textId="1FD5B73D" w:rsidR="00A6582E" w:rsidRDefault="00C41C34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8428620" w14:textId="6B8A17F9" w:rsidR="00A6582E" w:rsidRDefault="00C41C34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Tk I / (III/d)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47D8956F" w14:textId="003E3DF0" w:rsidR="00A6582E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Elsa </w:t>
            </w:r>
            <w:proofErr w:type="spellStart"/>
            <w:r>
              <w:rPr>
                <w:sz w:val="20"/>
                <w:lang w:val="en-US"/>
              </w:rPr>
              <w:t>Leminda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EDAD42F" w14:textId="2FAC330C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NIP. 199211082022032007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30430CF1" w:rsidR="00A6582E" w:rsidRP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Pengelola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Barang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Milik</w:t>
            </w:r>
            <w:proofErr w:type="spellEnd"/>
            <w:r>
              <w:rPr>
                <w:sz w:val="20"/>
                <w:lang w:val="en-US"/>
              </w:rPr>
              <w:t xml:space="preserve"> Negara</w:t>
            </w:r>
          </w:p>
        </w:tc>
        <w:tc>
          <w:tcPr>
            <w:tcW w:w="2835" w:type="dxa"/>
          </w:tcPr>
          <w:p w14:paraId="216A02D9" w14:textId="6CD6C8EF" w:rsidR="00A6582E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41C34" w14:paraId="1EEA8EC7" w14:textId="77777777" w:rsidTr="00A6582E">
        <w:trPr>
          <w:trHeight w:val="690"/>
        </w:trPr>
        <w:tc>
          <w:tcPr>
            <w:tcW w:w="528" w:type="dxa"/>
          </w:tcPr>
          <w:p w14:paraId="23CE5CF1" w14:textId="2E11F274" w:rsidR="00C41C34" w:rsidRDefault="00C41C34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3ED058D3" w14:textId="018F14D3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Yosef </w:t>
            </w:r>
            <w:proofErr w:type="spellStart"/>
            <w:r>
              <w:rPr>
                <w:sz w:val="20"/>
                <w:lang w:val="en-US"/>
              </w:rPr>
              <w:t>Gusman</w:t>
            </w:r>
            <w:proofErr w:type="spellEnd"/>
          </w:p>
        </w:tc>
        <w:tc>
          <w:tcPr>
            <w:tcW w:w="4557" w:type="dxa"/>
          </w:tcPr>
          <w:p w14:paraId="59EC773C" w14:textId="691E9D78" w:rsid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5FA717CE" w14:textId="568BF4FC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8491FF7" w14:textId="52425E88" w:rsidR="00C41C34" w:rsidRDefault="00C41C34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7777777" w:rsidR="00C41C34" w:rsidRDefault="00C41C34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41C34" w14:paraId="28422E17" w14:textId="77777777" w:rsidTr="00A6582E">
        <w:trPr>
          <w:trHeight w:val="690"/>
        </w:trPr>
        <w:tc>
          <w:tcPr>
            <w:tcW w:w="528" w:type="dxa"/>
          </w:tcPr>
          <w:p w14:paraId="26DEDA9E" w14:textId="0DEEF11D" w:rsidR="00C41C34" w:rsidRDefault="00C41C34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4E759B1E" w14:textId="22A4A753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Naldo</w:t>
            </w:r>
            <w:proofErr w:type="spellEnd"/>
            <w:r>
              <w:rPr>
                <w:sz w:val="20"/>
                <w:lang w:val="en-US"/>
              </w:rPr>
              <w:t xml:space="preserve"> Putra, S.H.</w:t>
            </w:r>
          </w:p>
        </w:tc>
        <w:tc>
          <w:tcPr>
            <w:tcW w:w="4557" w:type="dxa"/>
          </w:tcPr>
          <w:p w14:paraId="10CC9ED3" w14:textId="21B3E110" w:rsidR="00C41C34" w:rsidRDefault="00C41C34" w:rsidP="00186C49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C41C34" w:rsidRDefault="00C41C34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85E22A" w14:textId="77777777" w:rsidR="00C41C34" w:rsidRDefault="00C41C34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5C0B11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4E7A81E1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A6582E">
        <w:rPr>
          <w:rFonts w:ascii="Cambria" w:hAnsi="Cambria" w:cs="Arial"/>
          <w:sz w:val="20"/>
          <w:szCs w:val="20"/>
          <w:lang w:val="en-ID"/>
        </w:rPr>
        <w:t>1</w:t>
      </w:r>
      <w:r w:rsidR="00C41C34">
        <w:rPr>
          <w:rFonts w:ascii="Cambria" w:hAnsi="Cambria" w:cs="Arial"/>
          <w:sz w:val="20"/>
          <w:szCs w:val="20"/>
          <w:lang w:val="en-ID"/>
        </w:rPr>
        <w:t>9 Mei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3311D"/>
    <w:rsid w:val="00354CD3"/>
    <w:rsid w:val="00357E8F"/>
    <w:rsid w:val="00387902"/>
    <w:rsid w:val="003901BE"/>
    <w:rsid w:val="004279DC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3782C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2023-05-19T08:35:00Z</cp:lastPrinted>
  <dcterms:created xsi:type="dcterms:W3CDTF">2023-05-26T01:44:00Z</dcterms:created>
  <dcterms:modified xsi:type="dcterms:W3CDTF">2023-05-26T01:44:00Z</dcterms:modified>
</cp:coreProperties>
</file>