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14:paraId="7A19C003" w14:textId="77777777" w:rsidTr="008727EE">
        <w:tc>
          <w:tcPr>
            <w:tcW w:w="7938" w:type="dxa"/>
          </w:tcPr>
          <w:p w14:paraId="126F06D5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4865D4F2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05A73144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0D978659" w14:textId="77777777" w:rsidTr="008727EE">
        <w:tc>
          <w:tcPr>
            <w:tcW w:w="7938" w:type="dxa"/>
          </w:tcPr>
          <w:p w14:paraId="48E829C7" w14:textId="77777777"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14:paraId="52BE0A50" w14:textId="77777777" w:rsidTr="008727EE">
        <w:tc>
          <w:tcPr>
            <w:tcW w:w="7938" w:type="dxa"/>
          </w:tcPr>
          <w:p w14:paraId="0909A9A6" w14:textId="77777777"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14:paraId="5F3D5452" w14:textId="77777777" w:rsidTr="008727EE">
        <w:trPr>
          <w:trHeight w:val="74"/>
        </w:trPr>
        <w:tc>
          <w:tcPr>
            <w:tcW w:w="7938" w:type="dxa"/>
          </w:tcPr>
          <w:p w14:paraId="5F9E8410" w14:textId="77777777"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D8A6F4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A9DA424" wp14:editId="0CAEF6F6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44F4D7" wp14:editId="03719BCC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14:paraId="6889BE52" w14:textId="77777777" w:rsidR="00AE1AD0" w:rsidRDefault="00AE1AD0" w:rsidP="00AE1AD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BERITA ACARA PENERTIBAN DATA BARANG MILIK NEGARA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 wp14:anchorId="77546B63" wp14:editId="7CA8B384">
                <wp:simplePos x="0" y="0"/>
                <wp:positionH relativeFrom="column">
                  <wp:posOffset>38101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9920" y="378000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163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pt;margin-top:7.4pt;width:0;height:1pt;z-index:2516623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07574E46" w14:textId="37D59FCA" w:rsidR="00AE1AD0" w:rsidRDefault="001F6E7B" w:rsidP="00AE1AD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PADA SATUAN KERJA PENGADILAN TINGGI AGAMA PADANG</w:t>
      </w:r>
    </w:p>
    <w:p w14:paraId="3B6277EC" w14:textId="315582C2" w:rsidR="00AE1AD0" w:rsidRDefault="00AE1AD0" w:rsidP="00AE1A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</w:t>
      </w:r>
      <w:r w:rsidR="001F6E7B">
        <w:rPr>
          <w:rFonts w:ascii="Arial" w:eastAsia="Arial" w:hAnsi="Arial" w:cs="Arial"/>
        </w:rPr>
        <w:t xml:space="preserve"> : </w:t>
      </w:r>
      <w:r w:rsidR="00E92132" w:rsidRPr="00E92132">
        <w:rPr>
          <w:rFonts w:ascii="Arial" w:eastAsia="Arial" w:hAnsi="Arial" w:cs="Arial"/>
        </w:rPr>
        <w:t>1615/SEK.PTA.W3-A/PL1.2/V/2024</w:t>
      </w:r>
    </w:p>
    <w:p w14:paraId="4B9F5DD1" w14:textId="77777777" w:rsidR="00AE1AD0" w:rsidRDefault="00AE1AD0" w:rsidP="00AE1AD0">
      <w:pPr>
        <w:jc w:val="center"/>
        <w:rPr>
          <w:rFonts w:ascii="Arial" w:eastAsia="Arial" w:hAnsi="Arial" w:cs="Arial"/>
          <w:b/>
        </w:rPr>
      </w:pPr>
    </w:p>
    <w:p w14:paraId="3BDF06E6" w14:textId="77777777" w:rsidR="00AE1AD0" w:rsidRDefault="00AE1AD0" w:rsidP="00AE1AD0">
      <w:pPr>
        <w:jc w:val="center"/>
        <w:rPr>
          <w:rFonts w:ascii="Arial" w:eastAsia="Arial" w:hAnsi="Arial" w:cs="Arial"/>
          <w:b/>
        </w:rPr>
      </w:pPr>
    </w:p>
    <w:p w14:paraId="76187593" w14:textId="51098A9A" w:rsidR="00AE1AD0" w:rsidRDefault="00AE1AD0" w:rsidP="00AE1AD0">
      <w:pPr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 hari ini, </w:t>
      </w:r>
      <w:r w:rsidR="00E92132">
        <w:rPr>
          <w:rFonts w:ascii="Arial" w:eastAsia="Arial" w:hAnsi="Arial" w:cs="Arial"/>
        </w:rPr>
        <w:t>Senin</w:t>
      </w:r>
      <w:r>
        <w:rPr>
          <w:rFonts w:ascii="Arial" w:eastAsia="Arial" w:hAnsi="Arial" w:cs="Arial"/>
        </w:rPr>
        <w:t xml:space="preserve">, tanggal </w:t>
      </w:r>
      <w:r w:rsidR="00E92132">
        <w:rPr>
          <w:rFonts w:ascii="Arial" w:eastAsia="Arial" w:hAnsi="Arial" w:cs="Arial"/>
        </w:rPr>
        <w:t>dua puluh</w:t>
      </w:r>
      <w:r>
        <w:rPr>
          <w:rFonts w:ascii="Arial" w:eastAsia="Arial" w:hAnsi="Arial" w:cs="Arial"/>
        </w:rPr>
        <w:t xml:space="preserve">, bulan </w:t>
      </w:r>
      <w:r w:rsidR="00E92132">
        <w:rPr>
          <w:rFonts w:ascii="Arial" w:eastAsia="Arial" w:hAnsi="Arial" w:cs="Arial"/>
        </w:rPr>
        <w:t>Mei</w:t>
      </w:r>
      <w:r>
        <w:rPr>
          <w:rFonts w:ascii="Arial" w:eastAsia="Arial" w:hAnsi="Arial" w:cs="Arial"/>
        </w:rPr>
        <w:t xml:space="preserve">, tahun </w:t>
      </w:r>
      <w:r w:rsidR="00E92132">
        <w:rPr>
          <w:rFonts w:ascii="Arial" w:eastAsia="Arial" w:hAnsi="Arial" w:cs="Arial"/>
        </w:rPr>
        <w:t>dua ribu dua puluh empat</w:t>
      </w:r>
      <w:r>
        <w:rPr>
          <w:rFonts w:ascii="Arial" w:eastAsia="Arial" w:hAnsi="Arial" w:cs="Arial"/>
        </w:rPr>
        <w:t xml:space="preserve">, bertempat di Pengadilan Tinggi </w:t>
      </w:r>
      <w:r w:rsidR="00E92132">
        <w:rPr>
          <w:rFonts w:ascii="Arial" w:eastAsia="Arial" w:hAnsi="Arial" w:cs="Arial"/>
        </w:rPr>
        <w:t>Agama Padang</w:t>
      </w:r>
      <w:r>
        <w:rPr>
          <w:rFonts w:ascii="Arial" w:eastAsia="Arial" w:hAnsi="Arial" w:cs="Arial"/>
        </w:rPr>
        <w:t>, dilakukan penertiban data Barang Milik Negara terhadap Aset Tanah, Alat Angkutan Bermotor, Gedung dan Bangunan serta Rumah Negara sesuai surat Edaran Plt. Sekretaris Mahkamah Agung Republik Indonesia Nomor 119/SEK/PL1.2/V/2024 tentang Persiapan Migrasi Data Pengelolaan Barang Milik Negara (BMN) dalam rangka Implementasi SIMAN v2 dan Surat Kepala Biro Perlengkapan Mahkamah Agung Nomor 62/BUA.4/PL1.2/V/2024 hal Tindak Lanjut Penyelesaian Penertiban BMN dalam rangka Implementasi SIMAN v2.</w:t>
      </w:r>
    </w:p>
    <w:p w14:paraId="2363884F" w14:textId="77777777" w:rsidR="00AE1AD0" w:rsidRDefault="00AE1AD0" w:rsidP="00AE1AD0">
      <w:pPr>
        <w:spacing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Kegiatan tersebut dilakukan bersama-sama dengan (Sekretaris/Kabag Umum dan Keuangan/Kasubbag TURT/Kasubbag Umum dan Keuangan/Operator), dengan hasil sebagai berikut:</w:t>
      </w:r>
    </w:p>
    <w:p w14:paraId="3C70F493" w14:textId="669FF47B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Aset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color w:val="000000"/>
        </w:rPr>
        <w:t xml:space="preserve">anah terdiri dari </w:t>
      </w:r>
      <w:r w:rsidR="00E92132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NUP, dengan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color w:val="000000"/>
        </w:rPr>
        <w:t xml:space="preserve">sentase kelengkapan </w:t>
      </w:r>
      <w:r w:rsidR="00E92132">
        <w:rPr>
          <w:rFonts w:ascii="Arial" w:eastAsia="Arial" w:hAnsi="Arial" w:cs="Arial"/>
          <w:color w:val="000000"/>
        </w:rPr>
        <w:t>100</w:t>
      </w:r>
      <w:r>
        <w:rPr>
          <w:rFonts w:ascii="Arial" w:eastAsia="Arial" w:hAnsi="Arial" w:cs="Arial"/>
          <w:color w:val="000000"/>
        </w:rPr>
        <w:t xml:space="preserve"> % (Rincian terlampir)</w:t>
      </w:r>
    </w:p>
    <w:p w14:paraId="546375E1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Aset Alat Angkutan Bermotor terdiri dari … NUP, dengan rincian  … aset adalah kendaraan roda 4 dan … aset adalah kendaraan roda 2, dengan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color w:val="000000"/>
        </w:rPr>
        <w:t>sentase kelengkapan …% (Rincian terlampir)</w:t>
      </w:r>
    </w:p>
    <w:p w14:paraId="06AE27B6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Aset Gedung dan Bangunan terdiri dari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… NUP, dengan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color w:val="000000"/>
        </w:rPr>
        <w:t>sentase kelengkapan …% (Rincian terlampir)</w:t>
      </w:r>
    </w:p>
    <w:p w14:paraId="623624F7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Aset Rumah Negara terdiri dari … NUP, dengan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color w:val="000000"/>
        </w:rPr>
        <w:t>sentase kelengkapan …% (Rincian Terlampir)</w:t>
      </w:r>
    </w:p>
    <w:p w14:paraId="52350C3E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Peralatan dan Mesin Non TIK  terdiri dari … NUP, dengan persentase kelengkapan …% (Rincian terlampir)</w:t>
      </w:r>
    </w:p>
    <w:p w14:paraId="582391AB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Peralatan dan Mesin Khusus TIK terdiri dari … NUP, dengan persentase kelengkapan …% (Rincian terlampir)</w:t>
      </w:r>
    </w:p>
    <w:p w14:paraId="67984395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Alat Besar terdiri dari … NUP, dengan persentase kelengkapan …% (Rincian terlampir)</w:t>
      </w:r>
    </w:p>
    <w:p w14:paraId="57658BA3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Aset Jalan dan Jembatan terdiri dari … NUP, dengan persentase kelengkapan …% (Rincian terlampir)</w:t>
      </w:r>
    </w:p>
    <w:p w14:paraId="6DAAC441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Bangunan Air terdiri dari … NUP, dengan persentase kelengkapan …% (Rincian terlampir)</w:t>
      </w:r>
    </w:p>
    <w:p w14:paraId="4B37DBDC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Instalasi dan Jaringan terdiri dari … NUP, dengan persentase kelengkapan …% (Rincian terlampir)</w:t>
      </w:r>
    </w:p>
    <w:p w14:paraId="38FA76A4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Tetap Lainnya terdiri dari … NUP, dengan persentase kelengkapan …% (Rincian terlampir)</w:t>
      </w:r>
    </w:p>
    <w:p w14:paraId="7BA644BF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Tetap Renovasi terdiri dari … NUP, dengan persentase kelengkapan …% (Rincian terlampir)</w:t>
      </w:r>
    </w:p>
    <w:p w14:paraId="34A8450E" w14:textId="77777777" w:rsidR="00AE1AD0" w:rsidRDefault="00AE1AD0" w:rsidP="00AE1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Konstruksi Dalam Pengerjaan terdiri dari … NUP, dengan persentase kelengkapan …% (Rincian terlampir)</w:t>
      </w:r>
    </w:p>
    <w:p w14:paraId="366DF2B1" w14:textId="77777777" w:rsidR="00AE1AD0" w:rsidRDefault="00AE1AD0" w:rsidP="00AE1AD0">
      <w:pPr>
        <w:numPr>
          <w:ilvl w:val="0"/>
          <w:numId w:val="8"/>
        </w:numPr>
        <w:tabs>
          <w:tab w:val="left" w:pos="184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Aset Tak Berwujud terdiri dari … NUP, dengan persentase kelengkapan …% (Rincian terlampir)</w:t>
      </w:r>
    </w:p>
    <w:p w14:paraId="33044A84" w14:textId="77777777" w:rsidR="00AE1AD0" w:rsidRDefault="00AE1AD0" w:rsidP="00AE1AD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Sehingga dapat disimpulkan total persentase kelengkapan aset pada aplikasi SIMAN v1 di Pengadilan …. sejumlah </w:t>
      </w:r>
      <w:sdt>
        <w:sdtPr>
          <w:tag w:val="goog_rdk_0"/>
          <w:id w:val="-2139940760"/>
        </w:sdtPr>
        <w:sdtContent>
          <w:commentRangeStart w:id="1"/>
        </w:sdtContent>
      </w:sdt>
      <w:r>
        <w:rPr>
          <w:rFonts w:ascii="Arial" w:eastAsia="Arial" w:hAnsi="Arial" w:cs="Arial"/>
        </w:rPr>
        <w:t>…%</w:t>
      </w:r>
      <w:commentRangeEnd w:id="1"/>
      <w:r>
        <w:commentReference w:id="1"/>
      </w:r>
    </w:p>
    <w:p w14:paraId="46AB781A" w14:textId="77777777" w:rsidR="00AE1AD0" w:rsidRDefault="00AE1AD0" w:rsidP="00AE1A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Demikian Berita Acara ini dibuat untuk dapat digunakan sebagaimana mestinya.</w:t>
      </w:r>
    </w:p>
    <w:p w14:paraId="3B2B6898" w14:textId="77777777" w:rsidR="00AE1AD0" w:rsidRDefault="00AE1AD0" w:rsidP="00AE1A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585F52" w14:textId="77777777" w:rsidR="00AE1AD0" w:rsidRDefault="00AE1AD0" w:rsidP="00AE1A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84D86EF" w14:textId="77777777" w:rsidR="00AE1AD0" w:rsidRDefault="00AE1AD0" w:rsidP="00AE1A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100"/>
      </w:tblGrid>
      <w:tr w:rsidR="00AE1AD0" w14:paraId="2979BEFA" w14:textId="77777777" w:rsidTr="00FD60CF">
        <w:tc>
          <w:tcPr>
            <w:tcW w:w="4962" w:type="dxa"/>
          </w:tcPr>
          <w:p w14:paraId="313E56DE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3F974689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"/>
                <w:id w:val="-1707872330"/>
              </w:sdtPr>
              <w:sdtContent>
                <w:commentRangeStart w:id="2"/>
              </w:sdtContent>
            </w:sdt>
            <w:r>
              <w:rPr>
                <w:rFonts w:ascii="Arial" w:eastAsia="Arial" w:hAnsi="Arial" w:cs="Arial"/>
                <w:color w:val="000000"/>
              </w:rPr>
              <w:t>Semarang</w:t>
            </w:r>
            <w:commentRangeEnd w:id="2"/>
            <w:r>
              <w:commentReference w:id="2"/>
            </w:r>
            <w:r>
              <w:rPr>
                <w:rFonts w:ascii="Arial" w:eastAsia="Arial" w:hAnsi="Arial" w:cs="Arial"/>
                <w:color w:val="000000"/>
              </w:rPr>
              <w:t xml:space="preserve">,      Mei 2024 </w:t>
            </w:r>
          </w:p>
        </w:tc>
      </w:tr>
      <w:tr w:rsidR="00AE1AD0" w14:paraId="61269CA2" w14:textId="77777777" w:rsidTr="00FD60CF">
        <w:tc>
          <w:tcPr>
            <w:tcW w:w="4962" w:type="dxa"/>
          </w:tcPr>
          <w:p w14:paraId="3EA0420E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2512E6A2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21746C31" w14:textId="77777777" w:rsidTr="00FD60CF">
        <w:tc>
          <w:tcPr>
            <w:tcW w:w="4962" w:type="dxa"/>
          </w:tcPr>
          <w:p w14:paraId="2153CD24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26F1B333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05F6024F" w14:textId="77777777" w:rsidTr="00FD60CF">
        <w:tc>
          <w:tcPr>
            <w:tcW w:w="4962" w:type="dxa"/>
          </w:tcPr>
          <w:p w14:paraId="0A676447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Tim Satuan Kerja,</w:t>
            </w:r>
          </w:p>
        </w:tc>
        <w:tc>
          <w:tcPr>
            <w:tcW w:w="4100" w:type="dxa"/>
          </w:tcPr>
          <w:p w14:paraId="3B7EAE6B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Pendamping (Tim Pusat),</w:t>
            </w:r>
          </w:p>
        </w:tc>
      </w:tr>
      <w:tr w:rsidR="00AE1AD0" w14:paraId="432A3A87" w14:textId="77777777" w:rsidTr="00FD60CF">
        <w:tc>
          <w:tcPr>
            <w:tcW w:w="4962" w:type="dxa"/>
          </w:tcPr>
          <w:p w14:paraId="49C35675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65D8A476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5240E3D6" w14:textId="77777777" w:rsidTr="00FD60CF">
        <w:tc>
          <w:tcPr>
            <w:tcW w:w="4962" w:type="dxa"/>
          </w:tcPr>
          <w:p w14:paraId="461429F4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0E9A5879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728EA364" w14:textId="77777777" w:rsidTr="00FD60CF">
        <w:tc>
          <w:tcPr>
            <w:tcW w:w="4962" w:type="dxa"/>
          </w:tcPr>
          <w:p w14:paraId="1E716654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7F6F7955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39420008" w14:textId="77777777" w:rsidTr="00FD60CF">
        <w:tc>
          <w:tcPr>
            <w:tcW w:w="4962" w:type="dxa"/>
          </w:tcPr>
          <w:p w14:paraId="651F3AB9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7A1CADBC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7D0D4C13" w14:textId="77777777" w:rsidTr="00FD60CF">
        <w:tc>
          <w:tcPr>
            <w:tcW w:w="4962" w:type="dxa"/>
          </w:tcPr>
          <w:p w14:paraId="3407FAC3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00" w:type="dxa"/>
          </w:tcPr>
          <w:p w14:paraId="312BEC19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E1AD0" w14:paraId="3B1F4C49" w14:textId="77777777" w:rsidTr="00FD60CF">
        <w:tc>
          <w:tcPr>
            <w:tcW w:w="4962" w:type="dxa"/>
          </w:tcPr>
          <w:p w14:paraId="022C82AC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Nama Lengkap</w:t>
            </w:r>
          </w:p>
        </w:tc>
        <w:tc>
          <w:tcPr>
            <w:tcW w:w="4100" w:type="dxa"/>
          </w:tcPr>
          <w:p w14:paraId="009DA714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Nama Lengkap</w:t>
            </w:r>
          </w:p>
        </w:tc>
      </w:tr>
      <w:tr w:rsidR="00AE1AD0" w14:paraId="5FFFC0B1" w14:textId="77777777" w:rsidTr="00FD60CF">
        <w:tc>
          <w:tcPr>
            <w:tcW w:w="4962" w:type="dxa"/>
          </w:tcPr>
          <w:p w14:paraId="3ABE68D3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NIP</w:t>
            </w:r>
          </w:p>
        </w:tc>
        <w:tc>
          <w:tcPr>
            <w:tcW w:w="4100" w:type="dxa"/>
          </w:tcPr>
          <w:p w14:paraId="35C84B5B" w14:textId="77777777" w:rsidR="00AE1AD0" w:rsidRDefault="00AE1AD0" w:rsidP="00FD6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NIP</w:t>
            </w:r>
          </w:p>
        </w:tc>
      </w:tr>
    </w:tbl>
    <w:p w14:paraId="71902FF2" w14:textId="77777777" w:rsidR="00AE1AD0" w:rsidRDefault="00AE1AD0" w:rsidP="00AE1A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38C5B76" w14:textId="77777777" w:rsidR="007A5FD6" w:rsidRPr="004163F4" w:rsidRDefault="00667947" w:rsidP="004163F4">
      <w:pPr>
        <w:rPr>
          <w:rFonts w:ascii="Arial" w:hAnsi="Arial" w:cs="Arial"/>
          <w:sz w:val="22"/>
          <w:szCs w:val="22"/>
          <w:lang w:val="id-ID"/>
        </w:rPr>
      </w:pPr>
      <w:r w:rsidRPr="004163F4">
        <w:rPr>
          <w:rFonts w:ascii="Arial" w:hAnsi="Arial" w:cs="Arial"/>
          <w:sz w:val="22"/>
          <w:szCs w:val="22"/>
          <w:lang w:val="id-ID"/>
        </w:rPr>
        <w:t xml:space="preserve"> </w:t>
      </w: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imon rokap" w:date="2024-05-17T09:30:00Z" w:initials="">
    <w:p w14:paraId="6EFBC736" w14:textId="77777777" w:rsidR="00AE1AD0" w:rsidRDefault="00AE1AD0" w:rsidP="00AE1A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isi dengan rumus:</w:t>
      </w:r>
    </w:p>
    <w:p w14:paraId="4C1650FC" w14:textId="77777777" w:rsidR="00AE1AD0" w:rsidRDefault="00AE1AD0" w:rsidP="00AE1A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=total prosentase kelengkapan pada aset yang diuji/Jumlah Aset yang diuji</w:t>
      </w:r>
    </w:p>
  </w:comment>
  <w:comment w:id="2" w:author="bimon rokap" w:date="2024-05-17T09:32:00Z" w:initials="">
    <w:p w14:paraId="0F2DC2D2" w14:textId="77777777" w:rsidR="00AE1AD0" w:rsidRDefault="00AE1AD0" w:rsidP="00AE1A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sesuaikan dengan wilayah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1650FC" w15:done="0"/>
  <w15:commentEx w15:paraId="0F2DC2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458D1" w14:textId="77777777" w:rsidR="009F7C87" w:rsidRDefault="009F7C87" w:rsidP="00D16242">
      <w:r>
        <w:separator/>
      </w:r>
    </w:p>
  </w:endnote>
  <w:endnote w:type="continuationSeparator" w:id="0">
    <w:p w14:paraId="12718DA4" w14:textId="77777777" w:rsidR="009F7C87" w:rsidRDefault="009F7C8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93C47" w14:textId="77777777" w:rsidR="009F7C87" w:rsidRDefault="009F7C87" w:rsidP="00D16242">
      <w:r>
        <w:separator/>
      </w:r>
    </w:p>
  </w:footnote>
  <w:footnote w:type="continuationSeparator" w:id="0">
    <w:p w14:paraId="518CDCA2" w14:textId="77777777" w:rsidR="009F7C87" w:rsidRDefault="009F7C8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5AB6"/>
    <w:multiLevelType w:val="multilevel"/>
    <w:tmpl w:val="61EA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6E7B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4AB3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9F7C87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E1AD0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2132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274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4FEF-031B-4DC2-80BC-8D5E021C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2024-03-25T04:33:00Z</cp:lastPrinted>
  <dcterms:created xsi:type="dcterms:W3CDTF">2024-05-20T08:37:00Z</dcterms:created>
  <dcterms:modified xsi:type="dcterms:W3CDTF">2024-05-20T09:55:00Z</dcterms:modified>
</cp:coreProperties>
</file>