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F4B7" w14:textId="0044F196" w:rsidR="00C50255" w:rsidRDefault="00C50255">
      <w:pPr>
        <w:rPr>
          <w:rFonts w:ascii="Bookman Old Style" w:hAnsi="Bookman Old Style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-44"/>
        <w:tblOverlap w:val="never"/>
        <w:tblW w:w="8027" w:type="dxa"/>
        <w:tblLayout w:type="fixed"/>
        <w:tblLook w:val="04A0" w:firstRow="1" w:lastRow="0" w:firstColumn="1" w:lastColumn="0" w:noHBand="0" w:noVBand="1"/>
      </w:tblPr>
      <w:tblGrid>
        <w:gridCol w:w="8027"/>
      </w:tblGrid>
      <w:tr w:rsidR="00B87E2E" w14:paraId="635F4EA2" w14:textId="77777777" w:rsidTr="00EE0863">
        <w:tc>
          <w:tcPr>
            <w:tcW w:w="8027" w:type="dxa"/>
          </w:tcPr>
          <w:p w14:paraId="0319C213" w14:textId="77777777" w:rsidR="00B87E2E" w:rsidRDefault="00B87E2E" w:rsidP="00EE0863">
            <w:pPr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MAHKAMAH AGUNG REPUBLIK INDONESIA</w:t>
            </w:r>
          </w:p>
          <w:p w14:paraId="0E37119F" w14:textId="77777777" w:rsidR="00B87E2E" w:rsidRDefault="00B87E2E" w:rsidP="00EE0863">
            <w:pPr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71ABB583" w14:textId="77777777" w:rsidR="00B87E2E" w:rsidRDefault="00B87E2E" w:rsidP="00EE0863">
            <w:pPr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PENGADILAN TINGGI AGAMA PADANG</w:t>
            </w:r>
          </w:p>
        </w:tc>
      </w:tr>
      <w:tr w:rsidR="00B87E2E" w14:paraId="22E64ECE" w14:textId="77777777" w:rsidTr="00EE0863">
        <w:tc>
          <w:tcPr>
            <w:tcW w:w="8027" w:type="dxa"/>
          </w:tcPr>
          <w:p w14:paraId="5A589A5B" w14:textId="77777777" w:rsidR="00B87E2E" w:rsidRDefault="00B87E2E" w:rsidP="00EE0863">
            <w:pPr>
              <w:ind w:right="-302"/>
              <w:jc w:val="center"/>
              <w:rPr>
                <w:rFonts w:ascii="Bookman Old Style" w:hAnsi="Bookman Old Style"/>
                <w:spacing w:val="10"/>
                <w:sz w:val="18"/>
                <w:szCs w:val="18"/>
              </w:rPr>
            </w:pPr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Jl. By Pass Km 24 Anak Air,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Batipuh</w:t>
            </w:r>
            <w:proofErr w:type="spellEnd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 Panjang, Koto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Tangah</w:t>
            </w:r>
            <w:proofErr w:type="spellEnd"/>
          </w:p>
          <w:p w14:paraId="1426786B" w14:textId="77777777" w:rsidR="00B87E2E" w:rsidRDefault="00B87E2E" w:rsidP="00EE0863">
            <w:pPr>
              <w:ind w:right="-30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Padang, Sumatera Barat 25171 </w:t>
            </w:r>
            <w:hyperlink r:id="rId7" w:history="1">
              <w:r>
                <w:rPr>
                  <w:rStyle w:val="Hyperlink"/>
                  <w:rFonts w:ascii="Bookman Old Style" w:hAnsi="Bookman Old Style"/>
                  <w:spacing w:val="10"/>
                  <w:sz w:val="18"/>
                  <w:szCs w:val="18"/>
                </w:rPr>
                <w:t>www.pta-padang.go.id</w:t>
              </w:r>
            </w:hyperlink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, admin@pta-padang.go.id</w:t>
            </w:r>
          </w:p>
        </w:tc>
      </w:tr>
    </w:tbl>
    <w:p w14:paraId="17560453" w14:textId="6F7398EC" w:rsidR="00C50255" w:rsidRDefault="00B87E2E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0BE7A37" wp14:editId="666359C8">
            <wp:simplePos x="0" y="0"/>
            <wp:positionH relativeFrom="page">
              <wp:posOffset>914400</wp:posOffset>
            </wp:positionH>
            <wp:positionV relativeFrom="page">
              <wp:posOffset>775970</wp:posOffset>
            </wp:positionV>
            <wp:extent cx="762000" cy="87058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F09095" w14:textId="066FC681" w:rsidR="00C50255" w:rsidRDefault="00C50255">
      <w:pPr>
        <w:rPr>
          <w:rFonts w:ascii="Bookman Old Style" w:hAnsi="Bookman Old Style" w:cs="Arial"/>
          <w:sz w:val="22"/>
          <w:szCs w:val="22"/>
        </w:rPr>
      </w:pPr>
    </w:p>
    <w:p w14:paraId="7CE79950" w14:textId="77777777" w:rsidR="00C50255" w:rsidRDefault="00C50255">
      <w:pPr>
        <w:rPr>
          <w:rFonts w:ascii="Bookman Old Style" w:hAnsi="Bookman Old Style" w:cs="Arial"/>
          <w:sz w:val="22"/>
          <w:szCs w:val="22"/>
        </w:rPr>
      </w:pPr>
    </w:p>
    <w:p w14:paraId="5BF1958F" w14:textId="77777777" w:rsidR="00C50255" w:rsidRDefault="00C50255">
      <w:pPr>
        <w:rPr>
          <w:rFonts w:ascii="Bookman Old Style" w:hAnsi="Bookman Old Style" w:cs="Arial"/>
          <w:sz w:val="22"/>
          <w:szCs w:val="22"/>
        </w:rPr>
      </w:pPr>
    </w:p>
    <w:p w14:paraId="5E0386C2" w14:textId="77777777" w:rsidR="00C50255" w:rsidRDefault="00C50255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855AB53" w14:textId="7835031A" w:rsidR="00C50255" w:rsidRDefault="004829AF">
      <w:pPr>
        <w:tabs>
          <w:tab w:val="left" w:pos="1148"/>
          <w:tab w:val="left" w:pos="6379"/>
          <w:tab w:val="right" w:pos="9960"/>
        </w:tabs>
        <w:jc w:val="both"/>
        <w:rPr>
          <w:rFonts w:ascii="Bookman Old Style" w:hAnsi="Bookman Old Style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6477ED" wp14:editId="3D16794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0960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670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5pt" to="48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008E773A" w14:textId="2378A9AE" w:rsidR="004A05AD" w:rsidRPr="0015012F" w:rsidRDefault="00150D9B" w:rsidP="00532A27">
      <w:pPr>
        <w:tabs>
          <w:tab w:val="left" w:pos="1148"/>
          <w:tab w:val="left" w:pos="1276"/>
          <w:tab w:val="right" w:pos="9214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en-ID"/>
        </w:rPr>
      </w:pPr>
      <w:proofErr w:type="spellStart"/>
      <w:r w:rsidRPr="0015012F">
        <w:rPr>
          <w:rFonts w:ascii="Arial" w:hAnsi="Arial" w:cs="Arial"/>
          <w:sz w:val="22"/>
          <w:szCs w:val="20"/>
        </w:rPr>
        <w:t>Nomor</w:t>
      </w:r>
      <w:proofErr w:type="spellEnd"/>
      <w:r w:rsidRPr="0015012F">
        <w:rPr>
          <w:rFonts w:ascii="Arial" w:hAnsi="Arial" w:cs="Arial"/>
          <w:sz w:val="22"/>
          <w:szCs w:val="20"/>
        </w:rPr>
        <w:tab/>
        <w:t xml:space="preserve">: </w:t>
      </w:r>
      <w:r w:rsidR="00D50779">
        <w:rPr>
          <w:rFonts w:ascii="Arial" w:hAnsi="Arial" w:cs="Arial"/>
          <w:sz w:val="22"/>
          <w:szCs w:val="20"/>
        </w:rPr>
        <w:t xml:space="preserve"> </w:t>
      </w:r>
      <w:r w:rsidR="00D50779" w:rsidRPr="00D50779">
        <w:rPr>
          <w:rFonts w:ascii="Arial" w:hAnsi="Arial" w:cs="Arial"/>
          <w:sz w:val="22"/>
          <w:szCs w:val="20"/>
        </w:rPr>
        <w:t>2310/KPTA.W3-A/PW1.1.1/VII/2024</w:t>
      </w:r>
      <w:r w:rsidR="004A05AD" w:rsidRPr="0015012F">
        <w:rPr>
          <w:rFonts w:ascii="Arial" w:hAnsi="Arial" w:cs="Arial"/>
          <w:bCs/>
          <w:iCs/>
          <w:sz w:val="22"/>
          <w:szCs w:val="22"/>
          <w:lang w:val="en-ID"/>
        </w:rPr>
        <w:tab/>
      </w:r>
      <w:r w:rsidR="00FB43BA">
        <w:rPr>
          <w:rFonts w:ascii="Arial" w:hAnsi="Arial" w:cs="Arial"/>
          <w:bCs/>
          <w:iCs/>
          <w:sz w:val="22"/>
          <w:szCs w:val="22"/>
          <w:lang w:val="en-ID"/>
        </w:rPr>
        <w:t>Padang, 1</w:t>
      </w:r>
      <w:r w:rsidR="00D131B5">
        <w:rPr>
          <w:rFonts w:ascii="Arial" w:hAnsi="Arial" w:cs="Arial"/>
          <w:bCs/>
          <w:iCs/>
          <w:sz w:val="22"/>
          <w:szCs w:val="22"/>
          <w:lang w:val="en-ID"/>
        </w:rPr>
        <w:t>6</w:t>
      </w:r>
      <w:r w:rsidR="00FB43BA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="00FB43BA">
        <w:rPr>
          <w:rFonts w:ascii="Arial" w:hAnsi="Arial" w:cs="Arial"/>
          <w:bCs/>
          <w:iCs/>
          <w:sz w:val="22"/>
          <w:szCs w:val="22"/>
          <w:lang w:val="en-ID"/>
        </w:rPr>
        <w:t>Juli</w:t>
      </w:r>
      <w:proofErr w:type="spellEnd"/>
      <w:r w:rsidR="00FB43BA">
        <w:rPr>
          <w:rFonts w:ascii="Arial" w:hAnsi="Arial" w:cs="Arial"/>
          <w:bCs/>
          <w:iCs/>
          <w:sz w:val="22"/>
          <w:szCs w:val="22"/>
          <w:lang w:val="en-ID"/>
        </w:rPr>
        <w:t xml:space="preserve"> 2024</w:t>
      </w:r>
    </w:p>
    <w:p w14:paraId="7480A8C3" w14:textId="74E6CE21" w:rsidR="004A05AD" w:rsidRPr="0015012F" w:rsidRDefault="004A05AD" w:rsidP="00532A27">
      <w:pPr>
        <w:tabs>
          <w:tab w:val="left" w:pos="1148"/>
          <w:tab w:val="left" w:pos="1276"/>
        </w:tabs>
        <w:spacing w:line="276" w:lineRule="auto"/>
        <w:rPr>
          <w:rFonts w:ascii="Arial" w:hAnsi="Arial" w:cs="Arial"/>
          <w:bCs/>
          <w:iCs/>
          <w:sz w:val="22"/>
          <w:szCs w:val="22"/>
          <w:lang w:val="en-ID"/>
        </w:rPr>
      </w:pPr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Lampiran</w:t>
      </w:r>
      <w:r w:rsidRPr="0015012F">
        <w:rPr>
          <w:rFonts w:ascii="Arial" w:hAnsi="Arial" w:cs="Arial"/>
          <w:bCs/>
          <w:iCs/>
          <w:sz w:val="22"/>
          <w:szCs w:val="22"/>
          <w:lang w:val="en-ID"/>
        </w:rPr>
        <w:tab/>
        <w:t>:</w:t>
      </w:r>
      <w:r w:rsidRPr="0015012F">
        <w:rPr>
          <w:rFonts w:ascii="Arial" w:hAnsi="Arial" w:cs="Arial"/>
          <w:bCs/>
          <w:iCs/>
          <w:sz w:val="22"/>
          <w:szCs w:val="22"/>
          <w:lang w:val="en-ID"/>
        </w:rPr>
        <w:tab/>
        <w:t xml:space="preserve">1 </w:t>
      </w:r>
      <w:proofErr w:type="spellStart"/>
      <w:r w:rsidR="00FC2382" w:rsidRPr="0015012F">
        <w:rPr>
          <w:rFonts w:ascii="Arial" w:hAnsi="Arial" w:cs="Arial"/>
          <w:bCs/>
          <w:iCs/>
          <w:sz w:val="22"/>
          <w:szCs w:val="22"/>
          <w:lang w:val="en-ID"/>
        </w:rPr>
        <w:t>berkas</w:t>
      </w:r>
      <w:proofErr w:type="spellEnd"/>
    </w:p>
    <w:p w14:paraId="00520727" w14:textId="77777777" w:rsidR="0015012F" w:rsidRDefault="00532A27" w:rsidP="0015012F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Hal</w:t>
      </w:r>
      <w:r w:rsidR="004A05AD" w:rsidRPr="0015012F">
        <w:rPr>
          <w:rFonts w:ascii="Arial" w:hAnsi="Arial" w:cs="Arial"/>
          <w:bCs/>
          <w:iCs/>
          <w:sz w:val="22"/>
          <w:szCs w:val="22"/>
          <w:lang w:val="en-ID"/>
        </w:rPr>
        <w:tab/>
        <w:t>:</w:t>
      </w:r>
      <w:r w:rsidR="004A05AD" w:rsidRPr="0015012F">
        <w:rPr>
          <w:rFonts w:ascii="Arial" w:hAnsi="Arial" w:cs="Arial"/>
          <w:bCs/>
          <w:iCs/>
          <w:sz w:val="22"/>
          <w:szCs w:val="22"/>
          <w:lang w:val="en-ID"/>
        </w:rPr>
        <w:tab/>
      </w:r>
      <w:proofErr w:type="spellStart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Ikhtisar</w:t>
      </w:r>
      <w:proofErr w:type="spellEnd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Laporan</w:t>
      </w:r>
      <w:proofErr w:type="spellEnd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Hasil </w:t>
      </w:r>
      <w:proofErr w:type="spellStart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Evaluasi</w:t>
      </w:r>
      <w:proofErr w:type="spellEnd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>Akuntabilitas</w:t>
      </w:r>
      <w:proofErr w:type="spellEnd"/>
      <w:r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</w:p>
    <w:p w14:paraId="7602EB72" w14:textId="77777777" w:rsidR="0015012F" w:rsidRDefault="0015012F" w:rsidP="0015012F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>
        <w:rPr>
          <w:rFonts w:ascii="Arial" w:hAnsi="Arial" w:cs="Arial"/>
          <w:bCs/>
          <w:iCs/>
          <w:sz w:val="22"/>
          <w:szCs w:val="22"/>
          <w:lang w:val="en-ID"/>
        </w:rPr>
        <w:tab/>
      </w:r>
      <w:r>
        <w:rPr>
          <w:rFonts w:ascii="Arial" w:hAnsi="Arial" w:cs="Arial"/>
          <w:bCs/>
          <w:iCs/>
          <w:sz w:val="22"/>
          <w:szCs w:val="22"/>
          <w:lang w:val="en-ID"/>
        </w:rPr>
        <w:tab/>
      </w:r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Kinerja </w:t>
      </w:r>
      <w:proofErr w:type="spellStart"/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>Pengadilan</w:t>
      </w:r>
      <w:proofErr w:type="spellEnd"/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Tingkat </w:t>
      </w:r>
      <w:proofErr w:type="spellStart"/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>Pertama</w:t>
      </w:r>
      <w:proofErr w:type="spellEnd"/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di </w:t>
      </w:r>
    </w:p>
    <w:p w14:paraId="079E3389" w14:textId="6D9CD94C" w:rsidR="004A05AD" w:rsidRPr="0015012F" w:rsidRDefault="0015012F" w:rsidP="0015012F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>
        <w:rPr>
          <w:rFonts w:ascii="Arial" w:hAnsi="Arial" w:cs="Arial"/>
          <w:bCs/>
          <w:iCs/>
          <w:sz w:val="22"/>
          <w:szCs w:val="22"/>
          <w:lang w:val="en-ID"/>
        </w:rPr>
        <w:tab/>
      </w:r>
      <w:r>
        <w:rPr>
          <w:rFonts w:ascii="Arial" w:hAnsi="Arial" w:cs="Arial"/>
          <w:bCs/>
          <w:iCs/>
          <w:sz w:val="22"/>
          <w:szCs w:val="22"/>
          <w:lang w:val="en-ID"/>
        </w:rPr>
        <w:tab/>
      </w:r>
      <w:proofErr w:type="spellStart"/>
      <w:r>
        <w:rPr>
          <w:rFonts w:ascii="Arial" w:hAnsi="Arial" w:cs="Arial"/>
          <w:bCs/>
          <w:iCs/>
          <w:sz w:val="22"/>
          <w:szCs w:val="22"/>
          <w:lang w:val="en-ID"/>
        </w:rPr>
        <w:t>L</w:t>
      </w:r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>ingkungan</w:t>
      </w:r>
      <w:proofErr w:type="spellEnd"/>
      <w:r w:rsidR="00532A27" w:rsidRPr="0015012F">
        <w:rPr>
          <w:rFonts w:ascii="Arial" w:hAnsi="Arial" w:cs="Arial"/>
          <w:bCs/>
          <w:iCs/>
          <w:sz w:val="22"/>
          <w:szCs w:val="22"/>
          <w:lang w:val="en-ID"/>
        </w:rPr>
        <w:t xml:space="preserve"> PTA Padang</w:t>
      </w:r>
    </w:p>
    <w:p w14:paraId="36386B30" w14:textId="3B9BBCFD" w:rsidR="00171990" w:rsidRDefault="00171990" w:rsidP="00532A27">
      <w:pPr>
        <w:spacing w:after="240" w:line="276" w:lineRule="auto"/>
        <w:jc w:val="both"/>
        <w:rPr>
          <w:rFonts w:ascii="Arial" w:eastAsiaTheme="minorEastAsia" w:hAnsi="Arial" w:cs="Arial"/>
          <w:sz w:val="20"/>
          <w:szCs w:val="20"/>
          <w:lang w:val="zh-CN" w:eastAsia="zh-CN"/>
        </w:rPr>
      </w:pPr>
    </w:p>
    <w:p w14:paraId="3A119963" w14:textId="2B0E46DB" w:rsidR="00532A27" w:rsidRPr="0015012F" w:rsidRDefault="00532A27" w:rsidP="00532A27">
      <w:pPr>
        <w:pStyle w:val="Subtitle"/>
        <w:tabs>
          <w:tab w:val="left" w:pos="1904"/>
        </w:tabs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15012F">
        <w:rPr>
          <w:rFonts w:ascii="Arial" w:hAnsi="Arial" w:cs="Arial"/>
          <w:b w:val="0"/>
          <w:sz w:val="22"/>
          <w:szCs w:val="22"/>
        </w:rPr>
        <w:t>Yth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>.</w:t>
      </w:r>
      <w:r w:rsidRPr="0015012F">
        <w:rPr>
          <w:rFonts w:ascii="Arial" w:hAnsi="Arial" w:cs="Arial"/>
          <w:b w:val="0"/>
          <w:sz w:val="22"/>
          <w:szCs w:val="22"/>
          <w:lang w:val="id-ID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Kepala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Badan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Pengawasan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Agung RI</w:t>
      </w:r>
    </w:p>
    <w:p w14:paraId="50364E65" w14:textId="77777777" w:rsidR="00532A27" w:rsidRPr="0015012F" w:rsidRDefault="00532A27" w:rsidP="00532A27">
      <w:pPr>
        <w:pStyle w:val="Subtitle"/>
        <w:tabs>
          <w:tab w:val="left" w:pos="1904"/>
        </w:tabs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15012F">
        <w:rPr>
          <w:rFonts w:ascii="Arial" w:hAnsi="Arial" w:cs="Arial"/>
          <w:b w:val="0"/>
          <w:sz w:val="22"/>
          <w:szCs w:val="22"/>
        </w:rPr>
        <w:t xml:space="preserve">Di </w:t>
      </w:r>
    </w:p>
    <w:p w14:paraId="4E6A53F4" w14:textId="0DD90A5E" w:rsidR="00532A27" w:rsidRDefault="00532A27" w:rsidP="00532A27">
      <w:pPr>
        <w:pStyle w:val="Subtitle"/>
        <w:tabs>
          <w:tab w:val="left" w:pos="567"/>
        </w:tabs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15012F">
        <w:rPr>
          <w:rFonts w:ascii="Arial" w:hAnsi="Arial" w:cs="Arial"/>
          <w:b w:val="0"/>
          <w:sz w:val="22"/>
          <w:szCs w:val="22"/>
        </w:rPr>
        <w:tab/>
        <w:t>Jakarta</w:t>
      </w:r>
    </w:p>
    <w:p w14:paraId="5B688EC4" w14:textId="5539EB5E" w:rsidR="00532A27" w:rsidRPr="0015012F" w:rsidRDefault="00532A27" w:rsidP="00532A27">
      <w:pPr>
        <w:pStyle w:val="Subtitle"/>
        <w:tabs>
          <w:tab w:val="left" w:pos="567"/>
        </w:tabs>
        <w:spacing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0750CA" w14:textId="59CCBF8D" w:rsidR="00532A27" w:rsidRPr="0015012F" w:rsidRDefault="00532A27" w:rsidP="0015012F">
      <w:pPr>
        <w:pStyle w:val="Subtitle"/>
        <w:numPr>
          <w:ilvl w:val="0"/>
          <w:numId w:val="6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15012F">
        <w:rPr>
          <w:rFonts w:ascii="Arial" w:hAnsi="Arial" w:cs="Arial"/>
          <w:b w:val="0"/>
          <w:sz w:val="22"/>
          <w:szCs w:val="22"/>
        </w:rPr>
        <w:t>Berdasarkan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</w:t>
      </w:r>
      <w:r w:rsidRPr="0015012F">
        <w:rPr>
          <w:rFonts w:ascii="Arial" w:hAnsi="Arial" w:cs="Arial"/>
          <w:b w:val="0"/>
          <w:sz w:val="22"/>
          <w:szCs w:val="22"/>
        </w:rPr>
        <w:t>eraturan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Menteri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Pendayagunaan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Aparatur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Negara Dan Reformasi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Birokrasi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Republik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Indonesia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Nomor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88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Tahun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2021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tentang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Akuntabilitas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Kinerja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Instansi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Pemerintah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. PTA Padang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telah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melakukan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terhadap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Akuntabilitas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Kinerja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Pengadilan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Tingkat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Pertama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>.</w:t>
      </w:r>
    </w:p>
    <w:p w14:paraId="32B7E12B" w14:textId="3CA0DAC3" w:rsidR="00642A38" w:rsidRPr="0015012F" w:rsidRDefault="00532A27" w:rsidP="0015012F">
      <w:pPr>
        <w:pStyle w:val="Subtitle"/>
        <w:numPr>
          <w:ilvl w:val="0"/>
          <w:numId w:val="6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15012F">
        <w:rPr>
          <w:rFonts w:ascii="Arial" w:hAnsi="Arial" w:cs="Arial"/>
          <w:b w:val="0"/>
          <w:sz w:val="22"/>
          <w:szCs w:val="22"/>
        </w:rPr>
        <w:t xml:space="preserve">PTA Padang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telah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melakukan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terhadap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sz w:val="22"/>
          <w:szCs w:val="22"/>
        </w:rPr>
        <w:t>Akuntabilitas</w:t>
      </w:r>
      <w:proofErr w:type="spellEnd"/>
      <w:r w:rsidRPr="0015012F">
        <w:rPr>
          <w:rFonts w:ascii="Arial" w:hAnsi="Arial" w:cs="Arial"/>
          <w:b w:val="0"/>
          <w:sz w:val="22"/>
          <w:szCs w:val="22"/>
        </w:rPr>
        <w:t xml:space="preserve"> Kinerja</w:t>
      </w:r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Pengadilan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Tingkat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Pertama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Tahun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20</w:t>
      </w:r>
      <w:r w:rsidR="00E8530A">
        <w:rPr>
          <w:rFonts w:ascii="Arial" w:hAnsi="Arial" w:cs="Arial"/>
          <w:b w:val="0"/>
          <w:sz w:val="22"/>
          <w:szCs w:val="22"/>
        </w:rPr>
        <w:t>2</w:t>
      </w:r>
      <w:r w:rsidR="00FD726F">
        <w:rPr>
          <w:rFonts w:ascii="Arial" w:hAnsi="Arial" w:cs="Arial"/>
          <w:b w:val="0"/>
          <w:sz w:val="22"/>
          <w:szCs w:val="22"/>
        </w:rPr>
        <w:t>4</w:t>
      </w:r>
      <w:r w:rsidR="00642A38" w:rsidRPr="0015012F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dengan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metode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evalu</w:t>
      </w:r>
      <w:r w:rsidR="0081454B" w:rsidRPr="0015012F">
        <w:rPr>
          <w:rFonts w:ascii="Arial" w:hAnsi="Arial" w:cs="Arial"/>
          <w:b w:val="0"/>
          <w:sz w:val="22"/>
          <w:szCs w:val="22"/>
        </w:rPr>
        <w:t>a</w:t>
      </w:r>
      <w:r w:rsidR="00642A38" w:rsidRPr="0015012F">
        <w:rPr>
          <w:rFonts w:ascii="Arial" w:hAnsi="Arial" w:cs="Arial"/>
          <w:b w:val="0"/>
          <w:sz w:val="22"/>
          <w:szCs w:val="22"/>
        </w:rPr>
        <w:t>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sebagaimana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yang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ditetapkan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dalam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Surat Keputusan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Sekretaris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Agung RI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Nomor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878/SEK/SK/VII/2022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tentang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Pedoman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Akuntabilitas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Kinerja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Intansi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Pemerintah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di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Lingkungan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Agung RI dan Badan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Peradilan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yang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Berada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di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Bawahnya</w:t>
      </w:r>
      <w:proofErr w:type="spellEnd"/>
      <w:r w:rsidR="002D672B" w:rsidRPr="0015012F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Laporan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Hasil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telah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disampaikan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ke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masing-masing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Pimpinan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Pengadilan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Tingkat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Pertama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terlampir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)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dengan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pemeringkatan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dan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rekapitulasi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hasil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evaluasi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sebagai</w:t>
      </w:r>
      <w:proofErr w:type="spellEnd"/>
      <w:r w:rsidR="00642A38" w:rsidRPr="001501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42A38" w:rsidRPr="0015012F">
        <w:rPr>
          <w:rFonts w:ascii="Arial" w:hAnsi="Arial" w:cs="Arial"/>
          <w:b w:val="0"/>
          <w:sz w:val="22"/>
          <w:szCs w:val="22"/>
        </w:rPr>
        <w:t>berikut</w:t>
      </w:r>
      <w:proofErr w:type="spellEnd"/>
      <w:r w:rsidR="00DD419A" w:rsidRPr="0015012F">
        <w:rPr>
          <w:rFonts w:ascii="Arial" w:hAnsi="Arial" w:cs="Arial"/>
          <w:b w:val="0"/>
          <w:sz w:val="22"/>
          <w:szCs w:val="22"/>
        </w:rPr>
        <w:t>:</w:t>
      </w:r>
    </w:p>
    <w:tbl>
      <w:tblPr>
        <w:tblW w:w="8900" w:type="dxa"/>
        <w:tblInd w:w="113" w:type="dxa"/>
        <w:tblLook w:val="04A0" w:firstRow="1" w:lastRow="0" w:firstColumn="1" w:lastColumn="0" w:noHBand="0" w:noVBand="1"/>
      </w:tblPr>
      <w:tblGrid>
        <w:gridCol w:w="461"/>
        <w:gridCol w:w="2119"/>
        <w:gridCol w:w="1412"/>
        <w:gridCol w:w="1333"/>
        <w:gridCol w:w="1142"/>
        <w:gridCol w:w="1473"/>
        <w:gridCol w:w="960"/>
      </w:tblGrid>
      <w:tr w:rsidR="0015012F" w:rsidRPr="0015012F" w14:paraId="08C4B6D5" w14:textId="77777777" w:rsidTr="0015012F">
        <w:trPr>
          <w:trHeight w:val="30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36F5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4387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UNIT KERJA</w:t>
            </w:r>
          </w:p>
        </w:tc>
        <w:tc>
          <w:tcPr>
            <w:tcW w:w="5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4285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NILAI PER KOMPONEN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62A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Nilai </w:t>
            </w:r>
          </w:p>
        </w:tc>
      </w:tr>
      <w:tr w:rsidR="0015012F" w:rsidRPr="0015012F" w14:paraId="1F5CE199" w14:textId="77777777" w:rsidTr="0015012F">
        <w:trPr>
          <w:trHeight w:val="30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C04C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2949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8ACC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6D36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15012F" w:rsidRPr="0015012F" w14:paraId="66110914" w14:textId="77777777" w:rsidTr="0015012F">
        <w:trPr>
          <w:trHeight w:val="118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6EF4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69F5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BFF6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Kinerja</w:t>
            </w: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br/>
              <w:t>(30)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FAE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Pengukuran</w:t>
            </w:r>
            <w:proofErr w:type="spellEnd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Kinerja </w:t>
            </w: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br/>
              <w:t>(30)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2B4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Pelaporan</w:t>
            </w:r>
            <w:proofErr w:type="spellEnd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Kinerja</w:t>
            </w: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br/>
              <w:t>(15)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431" w14:textId="77777777" w:rsidR="0015012F" w:rsidRPr="0015012F" w:rsidRDefault="0015012F" w:rsidP="00A54C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Evaluasi</w:t>
            </w:r>
            <w:proofErr w:type="spellEnd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Akuntabilitas</w:t>
            </w:r>
            <w:proofErr w:type="spellEnd"/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Kinerja Internal</w:t>
            </w:r>
            <w:r w:rsidRPr="00150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  <w:br/>
              <w:t>(25)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3EEF" w14:textId="77777777" w:rsidR="0015012F" w:rsidRPr="0015012F" w:rsidRDefault="0015012F" w:rsidP="00A54CE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382334" w:rsidRPr="0015012F" w14:paraId="650F52AF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3304" w14:textId="29D46D6D" w:rsidR="00382334" w:rsidRPr="00EA2FC0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EA2FC0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1857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Pariaman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8D0F" w14:textId="63A109E3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4EEA" w14:textId="44D4B140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585F" w14:textId="6508A84A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12,45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2DF8" w14:textId="11069A9B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6DDF" w14:textId="70EDAC30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77,9</w:t>
            </w:r>
          </w:p>
        </w:tc>
      </w:tr>
      <w:tr w:rsidR="00382334" w:rsidRPr="0015012F" w14:paraId="5B12B19A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FBFD" w14:textId="44C8BD58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C86B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Solok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6A7D" w14:textId="65F4CE5C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3167" w14:textId="6613508D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F6CA" w14:textId="190B74AD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69F8" w14:textId="614C55C0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069D" w14:textId="538B9B82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77,75</w:t>
            </w:r>
          </w:p>
        </w:tc>
      </w:tr>
      <w:tr w:rsidR="00382334" w:rsidRPr="0015012F" w14:paraId="3E9FF5B1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4379" w14:textId="6414A22C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3B1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Sawahlunto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1528" w14:textId="10B47AA5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480CA" w14:textId="69586A24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9661" w14:textId="3DB98F1B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EEEA3" w14:textId="17C7B2C6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D687" w14:textId="2D7ED90E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77,35</w:t>
            </w:r>
          </w:p>
        </w:tc>
      </w:tr>
      <w:tr w:rsidR="00382334" w:rsidRPr="0015012F" w14:paraId="3347503F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61D1" w14:textId="069E5D96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296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Pulau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Punjung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71F28" w14:textId="6C9FA90B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1321" w14:textId="5B67FE11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AB69" w14:textId="48B067B3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AD7D" w14:textId="0301D8F4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8627" w14:textId="2ED9A6FA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73,9</w:t>
            </w:r>
          </w:p>
        </w:tc>
      </w:tr>
      <w:tr w:rsidR="00382334" w:rsidRPr="0015012F" w14:paraId="754296CE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5388" w14:textId="0478F0AE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6FA8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Batusangkar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569" w14:textId="44B92258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3DC4" w14:textId="544FB825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321" w14:textId="00DD88B6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42F" w14:textId="1C2D47ED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F596" w14:textId="2DB985AF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77,4</w:t>
            </w:r>
          </w:p>
        </w:tc>
      </w:tr>
      <w:tr w:rsidR="00382334" w:rsidRPr="0015012F" w14:paraId="4504C129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63DC" w14:textId="2EB5E4A1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AEB0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Padang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5F84" w14:textId="59DC17A4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307" w14:textId="3C0B0741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78D9" w14:textId="506DB858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E67D" w14:textId="40DA8986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217" w14:textId="556A6CDD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80,05</w:t>
            </w:r>
          </w:p>
        </w:tc>
      </w:tr>
      <w:tr w:rsidR="00382334" w:rsidRPr="0015012F" w14:paraId="1E3BF0DB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2D6A" w14:textId="1310CEC8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2E72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Padang Panjang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DAF" w14:textId="0588EE29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9633" w14:textId="3FC65DFA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222" w14:textId="6BB94F15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12,</w:t>
            </w:r>
            <w:r w:rsidR="00B0364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9DD" w14:textId="7FCA72DD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243" w14:textId="2CC38500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</w:t>
            </w:r>
            <w:r w:rsidR="00B03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382334" w:rsidRPr="0015012F" w14:paraId="558DCE0F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D6D3" w14:textId="06D97D6A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519D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Sijunjung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2B5" w14:textId="529E86A0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819" w14:textId="525D7A7A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F5A" w14:textId="498EB2F0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959" w14:textId="2141045E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327" w14:textId="06F51D73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382334" w:rsidRPr="0015012F" w14:paraId="22C5B80B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F967" w14:textId="60AD0C2B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A19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Koto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Baru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736" w14:textId="755032AA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036B" w14:textId="49CCCB1A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0300" w14:textId="04936F4F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CC1" w14:textId="58967FDF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4537" w14:textId="47EC1ABB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74,35</w:t>
            </w:r>
          </w:p>
        </w:tc>
      </w:tr>
      <w:tr w:rsidR="00382334" w:rsidRPr="0015012F" w14:paraId="665007AE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32E6" w14:textId="69B8C475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5E2D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Muara Labuh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95CD" w14:textId="3A8CE9A0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AED1" w14:textId="4439682C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D7F" w14:textId="6027B673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953E" w14:textId="0A623C0B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FFF" w14:textId="026B5F76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73,4</w:t>
            </w:r>
          </w:p>
        </w:tc>
      </w:tr>
      <w:tr w:rsidR="00382334" w:rsidRPr="0015012F" w14:paraId="3B78CE30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81CB" w14:textId="7055997D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0B95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Painan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2DDE" w14:textId="025FC6D2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638" w14:textId="56F7EEDB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A47" w14:textId="2A2418D2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EE0" w14:textId="2E757E8E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599" w14:textId="421F2D3A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75,5</w:t>
            </w:r>
          </w:p>
        </w:tc>
      </w:tr>
      <w:tr w:rsidR="00382334" w:rsidRPr="0015012F" w14:paraId="7882DB65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EAB8" w14:textId="1EEE3A36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22D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Bukittinggi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F6D8" w14:textId="250D0082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938A" w14:textId="7250C277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98C" w14:textId="27912713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7D1D" w14:textId="1345EAA9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6A5" w14:textId="763ADA22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382334" w:rsidRPr="0015012F" w14:paraId="76EBF0ED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980B" w14:textId="343BEF60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lastRenderedPageBreak/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BCA2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Lubuk</w:t>
            </w:r>
            <w:proofErr w:type="spellEnd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Sikaping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5623" w14:textId="0B66929D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AE7" w14:textId="7620A5C3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0FC1" w14:textId="3344EE9F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5606" w14:textId="1F950125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0836" w14:textId="370F2662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73,4</w:t>
            </w:r>
          </w:p>
        </w:tc>
      </w:tr>
      <w:tr w:rsidR="00382334" w:rsidRPr="0015012F" w14:paraId="7D5FCC38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B546" w14:textId="7A5B13D5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DF6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Talu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6E9" w14:textId="4CE62D0D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FBBE" w14:textId="06F03DA4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6C5C" w14:textId="526ADF27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D213" w14:textId="387EB4FB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F5C6" w14:textId="2B021726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74,65</w:t>
            </w:r>
          </w:p>
        </w:tc>
      </w:tr>
      <w:tr w:rsidR="00382334" w:rsidRPr="0015012F" w14:paraId="64315D30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7874" w14:textId="1314CA0B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DA92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Maninjau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0A7A" w14:textId="2765B92C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B279" w14:textId="5EDB3359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C917" w14:textId="32A6E297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3804" w14:textId="4ED532B4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84A" w14:textId="7C1F073D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73,4</w:t>
            </w:r>
          </w:p>
        </w:tc>
      </w:tr>
      <w:tr w:rsidR="00382334" w:rsidRPr="0015012F" w14:paraId="6731B8F7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DE51" w14:textId="1F97BE9F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822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Payakumbuh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10F9" w14:textId="50D196DC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D43C" w14:textId="62BA16A8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C8FB" w14:textId="6EEDBD27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E16" w14:textId="5BDFDA92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814" w14:textId="2F8BB254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75,05</w:t>
            </w:r>
          </w:p>
        </w:tc>
      </w:tr>
      <w:tr w:rsidR="00382334" w:rsidRPr="0015012F" w14:paraId="6CDD8560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CB12" w14:textId="1B789D33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6E98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PA Tanjung Pati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9D34" w14:textId="7C846416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184" w14:textId="7573B97F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5B0" w14:textId="646C8F37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786" w14:textId="442E5F07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734" w14:textId="2641D5FB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382334" w:rsidRPr="0015012F" w14:paraId="6EA59859" w14:textId="77777777" w:rsidTr="00EA2FC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9656" w14:textId="7D337348" w:rsidR="00382334" w:rsidRPr="0015012F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086E" w14:textId="77777777" w:rsidR="00382334" w:rsidRPr="0015012F" w:rsidRDefault="00382334" w:rsidP="00382334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PA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Lubuk</w:t>
            </w:r>
            <w:proofErr w:type="spellEnd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15012F"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  <w:t>Basung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DB9" w14:textId="05D95411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D346" w14:textId="6A126AF1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204" w14:textId="39352CC2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2845" w14:textId="2FC89D6E" w:rsidR="00382334" w:rsidRPr="00382334" w:rsidRDefault="00382334" w:rsidP="003823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095" w14:textId="11F7BA7E" w:rsidR="00382334" w:rsidRPr="00382334" w:rsidRDefault="00382334" w:rsidP="003823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82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76,7</w:t>
            </w:r>
          </w:p>
        </w:tc>
      </w:tr>
    </w:tbl>
    <w:p w14:paraId="36D01180" w14:textId="77777777" w:rsidR="00E8530A" w:rsidRDefault="00E8530A" w:rsidP="00E8530A">
      <w:pPr>
        <w:pStyle w:val="ListParagraph"/>
        <w:spacing w:after="240" w:line="360" w:lineRule="auto"/>
        <w:ind w:left="284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7C95566E" w14:textId="4F98DFD7" w:rsidR="00CE0E26" w:rsidRPr="0015012F" w:rsidRDefault="00EB47B8" w:rsidP="00CE0E26">
      <w:pPr>
        <w:pStyle w:val="ListParagraph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Berdasarkan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hasil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capaian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kinerja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masing-masing unit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kerja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tersebut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,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direkomendasikan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untuk</w:t>
      </w:r>
      <w:proofErr w:type="spellEnd"/>
      <w:r w:rsidRPr="0015012F">
        <w:rPr>
          <w:rFonts w:ascii="Arial" w:eastAsiaTheme="minorEastAsia" w:hAnsi="Arial" w:cs="Arial"/>
          <w:sz w:val="22"/>
          <w:szCs w:val="22"/>
          <w:lang w:eastAsia="zh-CN"/>
        </w:rPr>
        <w:t>:</w:t>
      </w:r>
    </w:p>
    <w:p w14:paraId="44AE8728" w14:textId="673C1F88" w:rsidR="00E8530A" w:rsidRDefault="00E8530A" w:rsidP="00E8530A">
      <w:pPr>
        <w:pStyle w:val="ListParagraph"/>
        <w:numPr>
          <w:ilvl w:val="0"/>
          <w:numId w:val="22"/>
        </w:numPr>
        <w:spacing w:after="24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E8530A">
        <w:rPr>
          <w:rFonts w:ascii="Arial" w:hAnsi="Arial" w:cs="Arial"/>
          <w:sz w:val="22"/>
          <w:szCs w:val="22"/>
        </w:rPr>
        <w:t>Dokumen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Perencanaan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Kinerja Internal yang </w:t>
      </w:r>
      <w:proofErr w:type="spellStart"/>
      <w:r w:rsidRPr="00E8530A">
        <w:rPr>
          <w:rFonts w:ascii="Arial" w:hAnsi="Arial" w:cs="Arial"/>
          <w:sz w:val="22"/>
          <w:szCs w:val="22"/>
        </w:rPr>
        <w:t>telah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ditetapkan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E8530A">
        <w:rPr>
          <w:rFonts w:ascii="Arial" w:hAnsi="Arial" w:cs="Arial"/>
          <w:sz w:val="22"/>
          <w:szCs w:val="22"/>
        </w:rPr>
        <w:t>satker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E8530A">
        <w:rPr>
          <w:rFonts w:ascii="Arial" w:hAnsi="Arial" w:cs="Arial"/>
          <w:sz w:val="22"/>
          <w:szCs w:val="22"/>
        </w:rPr>
        <w:t>merujuk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kepada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SK SEKMA </w:t>
      </w:r>
      <w:proofErr w:type="spellStart"/>
      <w:r w:rsidRPr="00E8530A">
        <w:rPr>
          <w:rFonts w:ascii="Arial" w:hAnsi="Arial" w:cs="Arial"/>
          <w:sz w:val="22"/>
          <w:szCs w:val="22"/>
        </w:rPr>
        <w:t>nomor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2049/SEK/SK/XII/2022 </w:t>
      </w:r>
      <w:proofErr w:type="spellStart"/>
      <w:r w:rsidRPr="00E8530A">
        <w:rPr>
          <w:rFonts w:ascii="Arial" w:hAnsi="Arial" w:cs="Arial"/>
          <w:sz w:val="22"/>
          <w:szCs w:val="22"/>
        </w:rPr>
        <w:t>tentang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Pedoman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Pelaksanaan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Sistem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Akuntabilitas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Kinerja di </w:t>
      </w:r>
      <w:proofErr w:type="spellStart"/>
      <w:r w:rsidRPr="00E8530A">
        <w:rPr>
          <w:rFonts w:ascii="Arial" w:hAnsi="Arial" w:cs="Arial"/>
          <w:sz w:val="22"/>
          <w:szCs w:val="22"/>
        </w:rPr>
        <w:t>Lingkungan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Mahkamah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Agung dan Badan </w:t>
      </w:r>
      <w:proofErr w:type="spellStart"/>
      <w:r w:rsidRPr="00E8530A">
        <w:rPr>
          <w:rFonts w:ascii="Arial" w:hAnsi="Arial" w:cs="Arial"/>
          <w:sz w:val="22"/>
          <w:szCs w:val="22"/>
        </w:rPr>
        <w:t>Peradilan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8530A">
        <w:rPr>
          <w:rFonts w:ascii="Arial" w:hAnsi="Arial" w:cs="Arial"/>
          <w:sz w:val="22"/>
          <w:szCs w:val="22"/>
        </w:rPr>
        <w:t>Berada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dibawahnya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8530A">
        <w:rPr>
          <w:rFonts w:ascii="Arial" w:hAnsi="Arial" w:cs="Arial"/>
          <w:sz w:val="22"/>
          <w:szCs w:val="22"/>
        </w:rPr>
        <w:t>sesuai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mandat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kebijakan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nasional</w:t>
      </w:r>
      <w:proofErr w:type="spellEnd"/>
      <w:r w:rsidRPr="00E8530A">
        <w:rPr>
          <w:rFonts w:ascii="Arial" w:hAnsi="Arial" w:cs="Arial"/>
          <w:sz w:val="22"/>
          <w:szCs w:val="22"/>
        </w:rPr>
        <w:t>).</w:t>
      </w:r>
    </w:p>
    <w:p w14:paraId="45DC321B" w14:textId="0892A1EA" w:rsidR="00E8530A" w:rsidRDefault="00E8530A" w:rsidP="00E8530A">
      <w:pPr>
        <w:pStyle w:val="ListParagraph"/>
        <w:numPr>
          <w:ilvl w:val="0"/>
          <w:numId w:val="22"/>
        </w:numPr>
        <w:spacing w:after="24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E8530A">
        <w:rPr>
          <w:rFonts w:ascii="Arial" w:hAnsi="Arial" w:cs="Arial"/>
          <w:sz w:val="22"/>
          <w:szCs w:val="22"/>
        </w:rPr>
        <w:t>Membuat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Laporan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periodik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atas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pelaksanaan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monitoring dan </w:t>
      </w:r>
      <w:proofErr w:type="spellStart"/>
      <w:r w:rsidRPr="00E8530A">
        <w:rPr>
          <w:rFonts w:ascii="Arial" w:hAnsi="Arial" w:cs="Arial"/>
          <w:sz w:val="22"/>
          <w:szCs w:val="22"/>
        </w:rPr>
        <w:t>evaluasi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capaian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kinerja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sesuai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pelaksanaan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rencana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aksi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8530A">
        <w:rPr>
          <w:rFonts w:ascii="Arial" w:hAnsi="Arial" w:cs="Arial"/>
          <w:sz w:val="22"/>
          <w:szCs w:val="22"/>
        </w:rPr>
        <w:t>telah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disusun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secara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berkala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. Matrik monitoring dan </w:t>
      </w:r>
      <w:proofErr w:type="spellStart"/>
      <w:r w:rsidRPr="00E8530A">
        <w:rPr>
          <w:rFonts w:ascii="Arial" w:hAnsi="Arial" w:cs="Arial"/>
          <w:sz w:val="22"/>
          <w:szCs w:val="22"/>
        </w:rPr>
        <w:t>evaluasi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Rencana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Aksi </w:t>
      </w:r>
      <w:proofErr w:type="spellStart"/>
      <w:r w:rsidRPr="00E8530A">
        <w:rPr>
          <w:rFonts w:ascii="Arial" w:hAnsi="Arial" w:cs="Arial"/>
          <w:sz w:val="22"/>
          <w:szCs w:val="22"/>
        </w:rPr>
        <w:t>perjanjian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kinerja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530A">
        <w:rPr>
          <w:rFonts w:ascii="Arial" w:hAnsi="Arial" w:cs="Arial"/>
          <w:sz w:val="22"/>
          <w:szCs w:val="22"/>
        </w:rPr>
        <w:t>Kertas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Kerja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Reviu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Laporan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Kinerja, </w:t>
      </w:r>
      <w:proofErr w:type="spellStart"/>
      <w:r w:rsidRPr="00E8530A">
        <w:rPr>
          <w:rFonts w:ascii="Arial" w:hAnsi="Arial" w:cs="Arial"/>
          <w:sz w:val="22"/>
          <w:szCs w:val="22"/>
        </w:rPr>
        <w:t>Tindak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Lanjut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Laporan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Hasil </w:t>
      </w:r>
      <w:proofErr w:type="spellStart"/>
      <w:r w:rsidRPr="00E8530A">
        <w:rPr>
          <w:rFonts w:ascii="Arial" w:hAnsi="Arial" w:cs="Arial"/>
          <w:sz w:val="22"/>
          <w:szCs w:val="22"/>
        </w:rPr>
        <w:t>Evaluasi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AKIP dan format </w:t>
      </w:r>
      <w:proofErr w:type="spellStart"/>
      <w:r w:rsidRPr="00E8530A">
        <w:rPr>
          <w:rFonts w:ascii="Arial" w:hAnsi="Arial" w:cs="Arial"/>
          <w:sz w:val="22"/>
          <w:szCs w:val="22"/>
        </w:rPr>
        <w:t>penyataan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telah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direviu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E8530A">
        <w:rPr>
          <w:rFonts w:ascii="Arial" w:hAnsi="Arial" w:cs="Arial"/>
          <w:sz w:val="22"/>
          <w:szCs w:val="22"/>
        </w:rPr>
        <w:t>mempedomani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surat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SEKMA </w:t>
      </w:r>
      <w:proofErr w:type="spellStart"/>
      <w:r w:rsidRPr="00E8530A">
        <w:rPr>
          <w:rFonts w:ascii="Arial" w:hAnsi="Arial" w:cs="Arial"/>
          <w:sz w:val="22"/>
          <w:szCs w:val="22"/>
        </w:rPr>
        <w:t>nomor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1282/SEK/OT.01.1/7/2023 </w:t>
      </w:r>
      <w:proofErr w:type="spellStart"/>
      <w:r w:rsidRPr="00E8530A">
        <w:rPr>
          <w:rFonts w:ascii="Arial" w:hAnsi="Arial" w:cs="Arial"/>
          <w:sz w:val="22"/>
          <w:szCs w:val="22"/>
        </w:rPr>
        <w:t>perihal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tindak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Lajut Hasil </w:t>
      </w:r>
      <w:proofErr w:type="spellStart"/>
      <w:r w:rsidRPr="00E8530A">
        <w:rPr>
          <w:rFonts w:ascii="Arial" w:hAnsi="Arial" w:cs="Arial"/>
          <w:sz w:val="22"/>
          <w:szCs w:val="22"/>
        </w:rPr>
        <w:t>Evaluasi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AKIP </w:t>
      </w:r>
      <w:proofErr w:type="spellStart"/>
      <w:r w:rsidRPr="00E8530A">
        <w:rPr>
          <w:rFonts w:ascii="Arial" w:hAnsi="Arial" w:cs="Arial"/>
          <w:sz w:val="22"/>
          <w:szCs w:val="22"/>
        </w:rPr>
        <w:t>Mahkamah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Agung </w:t>
      </w:r>
      <w:proofErr w:type="spellStart"/>
      <w:r w:rsidRPr="00E8530A">
        <w:rPr>
          <w:rFonts w:ascii="Arial" w:hAnsi="Arial" w:cs="Arial"/>
          <w:sz w:val="22"/>
          <w:szCs w:val="22"/>
        </w:rPr>
        <w:t>Tahun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2022.</w:t>
      </w:r>
    </w:p>
    <w:p w14:paraId="4F29B350" w14:textId="77777777" w:rsidR="00E8530A" w:rsidRDefault="00E8530A" w:rsidP="00E8530A">
      <w:pPr>
        <w:pStyle w:val="ListParagraph"/>
        <w:numPr>
          <w:ilvl w:val="0"/>
          <w:numId w:val="22"/>
        </w:numPr>
        <w:spacing w:after="24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E8530A">
        <w:rPr>
          <w:rFonts w:ascii="Arial" w:hAnsi="Arial" w:cs="Arial"/>
          <w:sz w:val="22"/>
          <w:szCs w:val="22"/>
        </w:rPr>
        <w:t>Laporan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Kinerja agar </w:t>
      </w:r>
      <w:proofErr w:type="spellStart"/>
      <w:r w:rsidRPr="00E8530A">
        <w:rPr>
          <w:rFonts w:ascii="Arial" w:hAnsi="Arial" w:cs="Arial"/>
          <w:sz w:val="22"/>
          <w:szCs w:val="22"/>
        </w:rPr>
        <w:t>dilakukan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reviu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8530A">
        <w:rPr>
          <w:rFonts w:ascii="Arial" w:hAnsi="Arial" w:cs="Arial"/>
          <w:sz w:val="22"/>
          <w:szCs w:val="22"/>
        </w:rPr>
        <w:t>tidak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sekedar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pernyataan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telah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direviu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namun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benar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benar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dilakukan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sesuai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ketentuan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sehingga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informasi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dalam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laporan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kinerja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dapat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diandalkan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. </w:t>
      </w:r>
    </w:p>
    <w:p w14:paraId="2096558C" w14:textId="7C5A4AFF" w:rsidR="00E8530A" w:rsidRDefault="00E8530A" w:rsidP="00E8530A">
      <w:pPr>
        <w:pStyle w:val="ListParagraph"/>
        <w:numPr>
          <w:ilvl w:val="0"/>
          <w:numId w:val="22"/>
        </w:numPr>
        <w:spacing w:after="24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8530A">
        <w:rPr>
          <w:rFonts w:ascii="Arial" w:hAnsi="Arial" w:cs="Arial"/>
          <w:sz w:val="22"/>
          <w:szCs w:val="22"/>
        </w:rPr>
        <w:t xml:space="preserve">Agar </w:t>
      </w:r>
      <w:proofErr w:type="spellStart"/>
      <w:r w:rsidRPr="00E8530A">
        <w:rPr>
          <w:rFonts w:ascii="Arial" w:hAnsi="Arial" w:cs="Arial"/>
          <w:sz w:val="22"/>
          <w:szCs w:val="22"/>
        </w:rPr>
        <w:t>Isu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Strategis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dalam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Laporan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Kinerja </w:t>
      </w:r>
      <w:proofErr w:type="spellStart"/>
      <w:r w:rsidRPr="00E8530A">
        <w:rPr>
          <w:rFonts w:ascii="Arial" w:hAnsi="Arial" w:cs="Arial"/>
          <w:sz w:val="22"/>
          <w:szCs w:val="22"/>
        </w:rPr>
        <w:t>dapat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disampaikan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8530A">
        <w:rPr>
          <w:rFonts w:ascii="Arial" w:hAnsi="Arial" w:cs="Arial"/>
          <w:sz w:val="22"/>
          <w:szCs w:val="22"/>
        </w:rPr>
        <w:t>diselaraskan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dengan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Isu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Strategis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8530A">
        <w:rPr>
          <w:rFonts w:ascii="Arial" w:hAnsi="Arial" w:cs="Arial"/>
          <w:sz w:val="22"/>
          <w:szCs w:val="22"/>
        </w:rPr>
        <w:t>ada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8530A">
        <w:rPr>
          <w:rFonts w:ascii="Arial" w:hAnsi="Arial" w:cs="Arial"/>
          <w:sz w:val="22"/>
          <w:szCs w:val="22"/>
        </w:rPr>
        <w:t>dokumen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Renstra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. Format </w:t>
      </w:r>
      <w:proofErr w:type="spellStart"/>
      <w:r w:rsidRPr="00E8530A">
        <w:rPr>
          <w:rFonts w:ascii="Arial" w:hAnsi="Arial" w:cs="Arial"/>
          <w:sz w:val="22"/>
          <w:szCs w:val="22"/>
        </w:rPr>
        <w:t>pelaporan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Kinerja agar </w:t>
      </w:r>
      <w:proofErr w:type="spellStart"/>
      <w:r w:rsidRPr="00E8530A">
        <w:rPr>
          <w:rFonts w:ascii="Arial" w:hAnsi="Arial" w:cs="Arial"/>
          <w:sz w:val="22"/>
          <w:szCs w:val="22"/>
        </w:rPr>
        <w:t>disesuaikan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dengan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Permenpan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RB </w:t>
      </w:r>
      <w:proofErr w:type="spellStart"/>
      <w:r w:rsidRPr="00E8530A">
        <w:rPr>
          <w:rFonts w:ascii="Arial" w:hAnsi="Arial" w:cs="Arial"/>
          <w:sz w:val="22"/>
          <w:szCs w:val="22"/>
        </w:rPr>
        <w:t>Nomor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53 </w:t>
      </w:r>
      <w:proofErr w:type="spellStart"/>
      <w:r w:rsidRPr="00E8530A">
        <w:rPr>
          <w:rFonts w:ascii="Arial" w:hAnsi="Arial" w:cs="Arial"/>
          <w:sz w:val="22"/>
          <w:szCs w:val="22"/>
        </w:rPr>
        <w:t>Tahun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2014</w:t>
      </w:r>
      <w:r>
        <w:rPr>
          <w:rFonts w:ascii="Arial" w:hAnsi="Arial" w:cs="Arial"/>
          <w:sz w:val="22"/>
          <w:szCs w:val="22"/>
        </w:rPr>
        <w:t>.</w:t>
      </w:r>
    </w:p>
    <w:p w14:paraId="321E6EA0" w14:textId="6F941FD6" w:rsidR="0015012F" w:rsidRPr="00E8530A" w:rsidRDefault="00E8530A" w:rsidP="00E8530A">
      <w:pPr>
        <w:pStyle w:val="ListParagraph"/>
        <w:numPr>
          <w:ilvl w:val="0"/>
          <w:numId w:val="22"/>
        </w:numPr>
        <w:spacing w:after="24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E8530A">
        <w:rPr>
          <w:rFonts w:ascii="Arial" w:hAnsi="Arial" w:cs="Arial"/>
          <w:sz w:val="22"/>
          <w:szCs w:val="22"/>
        </w:rPr>
        <w:t>Melakukan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Evaluasi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internal </w:t>
      </w:r>
      <w:proofErr w:type="spellStart"/>
      <w:r w:rsidRPr="00E8530A">
        <w:rPr>
          <w:rFonts w:ascii="Arial" w:hAnsi="Arial" w:cs="Arial"/>
          <w:sz w:val="22"/>
          <w:szCs w:val="22"/>
        </w:rPr>
        <w:t>secara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berjenjang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8530A">
        <w:rPr>
          <w:rFonts w:ascii="Arial" w:hAnsi="Arial" w:cs="Arial"/>
          <w:sz w:val="22"/>
          <w:szCs w:val="22"/>
        </w:rPr>
        <w:t>berkala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baik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E8530A">
        <w:rPr>
          <w:rFonts w:ascii="Arial" w:hAnsi="Arial" w:cs="Arial"/>
          <w:sz w:val="22"/>
          <w:szCs w:val="22"/>
        </w:rPr>
        <w:t>dokumen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perencanaan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530A">
        <w:rPr>
          <w:rFonts w:ascii="Arial" w:hAnsi="Arial" w:cs="Arial"/>
          <w:sz w:val="22"/>
          <w:szCs w:val="22"/>
        </w:rPr>
        <w:t>pelaporan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maupun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tindak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lanjut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terhadap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rekomendasi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SAKIP, </w:t>
      </w:r>
      <w:proofErr w:type="spellStart"/>
      <w:r w:rsidRPr="00E8530A">
        <w:rPr>
          <w:rFonts w:ascii="Arial" w:hAnsi="Arial" w:cs="Arial"/>
          <w:sz w:val="22"/>
          <w:szCs w:val="22"/>
        </w:rPr>
        <w:t>sehingga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tindak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lanjut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8530A">
        <w:rPr>
          <w:rFonts w:ascii="Arial" w:hAnsi="Arial" w:cs="Arial"/>
          <w:sz w:val="22"/>
          <w:szCs w:val="22"/>
        </w:rPr>
        <w:t>telah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8530A">
        <w:rPr>
          <w:rFonts w:ascii="Arial" w:hAnsi="Arial" w:cs="Arial"/>
          <w:sz w:val="22"/>
          <w:szCs w:val="22"/>
        </w:rPr>
        <w:t>perbaiki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tidak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terulang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8530A">
        <w:rPr>
          <w:rFonts w:ascii="Arial" w:hAnsi="Arial" w:cs="Arial"/>
          <w:sz w:val="22"/>
          <w:szCs w:val="22"/>
        </w:rPr>
        <w:t>menjadi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catatan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Evaluator pada </w:t>
      </w:r>
      <w:proofErr w:type="spellStart"/>
      <w:r w:rsidRPr="00E8530A">
        <w:rPr>
          <w:rFonts w:ascii="Arial" w:hAnsi="Arial" w:cs="Arial"/>
          <w:sz w:val="22"/>
          <w:szCs w:val="22"/>
        </w:rPr>
        <w:t>penilaian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SAKIP </w:t>
      </w:r>
      <w:proofErr w:type="spellStart"/>
      <w:r w:rsidRPr="00E8530A">
        <w:rPr>
          <w:rFonts w:ascii="Arial" w:hAnsi="Arial" w:cs="Arial"/>
          <w:sz w:val="22"/>
          <w:szCs w:val="22"/>
        </w:rPr>
        <w:t>Tahun</w:t>
      </w:r>
      <w:proofErr w:type="spellEnd"/>
      <w:r w:rsidRPr="00E85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30A">
        <w:rPr>
          <w:rFonts w:ascii="Arial" w:hAnsi="Arial" w:cs="Arial"/>
          <w:sz w:val="22"/>
          <w:szCs w:val="22"/>
        </w:rPr>
        <w:t>berikutnya</w:t>
      </w:r>
      <w:proofErr w:type="spellEnd"/>
      <w:r w:rsidRPr="00E8530A">
        <w:rPr>
          <w:rFonts w:ascii="Arial" w:hAnsi="Arial" w:cs="Arial"/>
          <w:sz w:val="22"/>
          <w:szCs w:val="22"/>
        </w:rPr>
        <w:t>.</w:t>
      </w:r>
    </w:p>
    <w:p w14:paraId="5F1B171C" w14:textId="4C84983C" w:rsidR="00A85569" w:rsidRPr="0015012F" w:rsidRDefault="00EB47B8" w:rsidP="00EA2FC0">
      <w:pPr>
        <w:pStyle w:val="ListParagraph"/>
        <w:spacing w:after="240" w:line="360" w:lineRule="auto"/>
        <w:ind w:left="0" w:firstLine="567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Demikian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laporan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ini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kami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sampaikan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,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atas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perkenaan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Bapak</w:t>
      </w:r>
      <w:r w:rsidR="00585EFF" w:rsidRPr="0015012F">
        <w:rPr>
          <w:rFonts w:ascii="Arial" w:eastAsiaTheme="minorEastAsia" w:hAnsi="Arial" w:cs="Arial"/>
          <w:sz w:val="22"/>
          <w:szCs w:val="20"/>
          <w:lang w:eastAsia="zh-CN"/>
        </w:rPr>
        <w:t>/Ibu</w:t>
      </w:r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diucapkan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terimakasih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.</w:t>
      </w:r>
    </w:p>
    <w:p w14:paraId="29E026BA" w14:textId="6524ACEC" w:rsidR="00A85569" w:rsidRPr="0015012F" w:rsidRDefault="00A85569" w:rsidP="007E2C63">
      <w:pPr>
        <w:spacing w:after="240"/>
        <w:ind w:left="4962"/>
        <w:rPr>
          <w:rFonts w:ascii="Arial" w:eastAsiaTheme="minorEastAsia" w:hAnsi="Arial" w:cs="Arial"/>
          <w:sz w:val="22"/>
          <w:szCs w:val="20"/>
          <w:lang w:eastAsia="zh-CN"/>
        </w:rPr>
      </w:pP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Ketua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r w:rsidR="007E2C63" w:rsidRPr="0015012F">
        <w:rPr>
          <w:rFonts w:ascii="Arial" w:eastAsiaTheme="minorEastAsia" w:hAnsi="Arial" w:cs="Arial"/>
          <w:sz w:val="22"/>
          <w:szCs w:val="20"/>
          <w:lang w:eastAsia="zh-CN"/>
        </w:rPr>
        <w:br/>
      </w:r>
      <w:proofErr w:type="spellStart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>Pengadilan</w:t>
      </w:r>
      <w:proofErr w:type="spellEnd"/>
      <w:r w:rsidRPr="0015012F">
        <w:rPr>
          <w:rFonts w:ascii="Arial" w:eastAsiaTheme="minorEastAsia" w:hAnsi="Arial" w:cs="Arial"/>
          <w:sz w:val="22"/>
          <w:szCs w:val="20"/>
          <w:lang w:eastAsia="zh-CN"/>
        </w:rPr>
        <w:t xml:space="preserve"> Tinggi Agama Padang</w:t>
      </w:r>
    </w:p>
    <w:p w14:paraId="17D12A4A" w14:textId="425C98A0" w:rsidR="00A85569" w:rsidRDefault="00A85569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755817E0" w14:textId="77777777" w:rsidR="00E8530A" w:rsidRDefault="00E8530A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6A85A9BF" w14:textId="46BB298F" w:rsidR="00A85569" w:rsidRPr="0015012F" w:rsidRDefault="00382334" w:rsidP="00B87E2E">
      <w:pPr>
        <w:spacing w:after="240" w:line="360" w:lineRule="auto"/>
        <w:ind w:left="4962"/>
        <w:rPr>
          <w:rFonts w:ascii="Arial" w:eastAsiaTheme="minorEastAsia" w:hAnsi="Arial" w:cs="Arial"/>
          <w:sz w:val="22"/>
          <w:szCs w:val="20"/>
          <w:lang w:eastAsia="zh-CN"/>
        </w:rPr>
      </w:pPr>
      <w:r>
        <w:rPr>
          <w:rFonts w:ascii="Arial" w:eastAsiaTheme="minorEastAsia" w:hAnsi="Arial" w:cs="Arial"/>
          <w:sz w:val="22"/>
          <w:szCs w:val="20"/>
          <w:lang w:eastAsia="zh-CN"/>
        </w:rPr>
        <w:t>Abd. Ha</w:t>
      </w:r>
      <w:r w:rsidR="00FD726F">
        <w:rPr>
          <w:rFonts w:ascii="Arial" w:eastAsiaTheme="minorEastAsia" w:hAnsi="Arial" w:cs="Arial"/>
          <w:sz w:val="22"/>
          <w:szCs w:val="20"/>
          <w:lang w:eastAsia="zh-CN"/>
        </w:rPr>
        <w:t>kim</w:t>
      </w:r>
    </w:p>
    <w:p w14:paraId="7C616A2E" w14:textId="30857C15" w:rsidR="00432F2A" w:rsidRPr="0015012F" w:rsidRDefault="00432F2A" w:rsidP="00432F2A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15012F">
        <w:rPr>
          <w:rFonts w:ascii="Arial" w:hAnsi="Arial" w:cs="Arial"/>
          <w:b w:val="0"/>
          <w:iCs/>
          <w:sz w:val="22"/>
          <w:szCs w:val="22"/>
          <w:lang w:val="id-ID"/>
        </w:rPr>
        <w:t>Tembusan Y</w:t>
      </w:r>
      <w:proofErr w:type="spellStart"/>
      <w:r w:rsidRPr="0015012F">
        <w:rPr>
          <w:rFonts w:ascii="Arial" w:hAnsi="Arial" w:cs="Arial"/>
          <w:b w:val="0"/>
          <w:iCs/>
          <w:sz w:val="22"/>
          <w:szCs w:val="22"/>
        </w:rPr>
        <w:t>th</w:t>
      </w:r>
      <w:proofErr w:type="spellEnd"/>
      <w:r w:rsidRPr="0015012F">
        <w:rPr>
          <w:rFonts w:ascii="Arial" w:hAnsi="Arial" w:cs="Arial"/>
          <w:b w:val="0"/>
          <w:iCs/>
          <w:sz w:val="22"/>
          <w:szCs w:val="22"/>
          <w:lang w:val="id-ID"/>
        </w:rPr>
        <w:t>:</w:t>
      </w:r>
    </w:p>
    <w:p w14:paraId="642B11BE" w14:textId="2971BCDD" w:rsidR="00E1721D" w:rsidRPr="0015012F" w:rsidRDefault="00475B0D" w:rsidP="00FC2382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</w:rPr>
      </w:pPr>
      <w:proofErr w:type="spellStart"/>
      <w:r w:rsidRPr="0015012F">
        <w:rPr>
          <w:rFonts w:ascii="Arial" w:hAnsi="Arial" w:cs="Arial"/>
          <w:b w:val="0"/>
          <w:iCs/>
          <w:sz w:val="22"/>
          <w:szCs w:val="22"/>
        </w:rPr>
        <w:t>Kepala</w:t>
      </w:r>
      <w:proofErr w:type="spellEnd"/>
      <w:r w:rsidRPr="0015012F">
        <w:rPr>
          <w:rFonts w:ascii="Arial" w:hAnsi="Arial" w:cs="Arial"/>
          <w:b w:val="0"/>
          <w:iCs/>
          <w:sz w:val="22"/>
          <w:szCs w:val="22"/>
        </w:rPr>
        <w:t xml:space="preserve"> Biro </w:t>
      </w:r>
      <w:proofErr w:type="spellStart"/>
      <w:r w:rsidRPr="0015012F">
        <w:rPr>
          <w:rFonts w:ascii="Arial" w:hAnsi="Arial" w:cs="Arial"/>
          <w:b w:val="0"/>
          <w:iCs/>
          <w:sz w:val="22"/>
          <w:szCs w:val="22"/>
        </w:rPr>
        <w:t>Perencanaan</w:t>
      </w:r>
      <w:proofErr w:type="spellEnd"/>
      <w:r w:rsidR="00C510F0" w:rsidRPr="0015012F">
        <w:rPr>
          <w:rFonts w:ascii="Arial" w:hAnsi="Arial" w:cs="Arial"/>
          <w:b w:val="0"/>
          <w:iCs/>
          <w:sz w:val="22"/>
          <w:szCs w:val="22"/>
        </w:rPr>
        <w:t xml:space="preserve"> dan </w:t>
      </w:r>
      <w:proofErr w:type="spellStart"/>
      <w:r w:rsidR="00C510F0" w:rsidRPr="0015012F">
        <w:rPr>
          <w:rFonts w:ascii="Arial" w:hAnsi="Arial" w:cs="Arial"/>
          <w:b w:val="0"/>
          <w:iCs/>
          <w:sz w:val="22"/>
          <w:szCs w:val="22"/>
        </w:rPr>
        <w:t>Organisasi</w:t>
      </w:r>
      <w:proofErr w:type="spellEnd"/>
      <w:r w:rsidR="003600DA" w:rsidRPr="0015012F">
        <w:rPr>
          <w:rFonts w:ascii="Arial" w:hAnsi="Arial" w:cs="Arial"/>
          <w:b w:val="0"/>
          <w:iCs/>
          <w:sz w:val="22"/>
          <w:szCs w:val="22"/>
        </w:rPr>
        <w:t xml:space="preserve"> </w:t>
      </w:r>
      <w:proofErr w:type="spellStart"/>
      <w:r w:rsidRPr="0015012F">
        <w:rPr>
          <w:rFonts w:ascii="Arial" w:hAnsi="Arial" w:cs="Arial"/>
          <w:b w:val="0"/>
          <w:iCs/>
          <w:sz w:val="22"/>
          <w:szCs w:val="22"/>
        </w:rPr>
        <w:t>Mahkamah</w:t>
      </w:r>
      <w:proofErr w:type="spellEnd"/>
      <w:r w:rsidRPr="0015012F">
        <w:rPr>
          <w:rFonts w:ascii="Arial" w:hAnsi="Arial" w:cs="Arial"/>
          <w:b w:val="0"/>
          <w:iCs/>
          <w:sz w:val="22"/>
          <w:szCs w:val="22"/>
        </w:rPr>
        <w:t xml:space="preserve"> Agung RI</w:t>
      </w:r>
    </w:p>
    <w:p w14:paraId="6BF43BE2" w14:textId="2ACD479B" w:rsidR="00E109E3" w:rsidRPr="0015012F" w:rsidRDefault="00E109E3" w:rsidP="00432F2A">
      <w:pPr>
        <w:spacing w:after="240" w:line="360" w:lineRule="auto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sectPr w:rsidR="00E109E3" w:rsidRPr="0015012F" w:rsidSect="00532A27">
      <w:pgSz w:w="11906" w:h="16838"/>
      <w:pgMar w:top="964" w:right="1185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7C1"/>
    <w:multiLevelType w:val="multilevel"/>
    <w:tmpl w:val="029F4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F86"/>
    <w:multiLevelType w:val="hybridMultilevel"/>
    <w:tmpl w:val="20DCFCF4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03564"/>
    <w:multiLevelType w:val="multilevel"/>
    <w:tmpl w:val="09703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3D56"/>
    <w:multiLevelType w:val="hybridMultilevel"/>
    <w:tmpl w:val="7BD06640"/>
    <w:lvl w:ilvl="0" w:tplc="F9D649D6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3EAF"/>
    <w:multiLevelType w:val="hybridMultilevel"/>
    <w:tmpl w:val="244A7D18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96C46EF"/>
    <w:multiLevelType w:val="hybridMultilevel"/>
    <w:tmpl w:val="030C2E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3AF1"/>
    <w:multiLevelType w:val="hybridMultilevel"/>
    <w:tmpl w:val="DE44710C"/>
    <w:lvl w:ilvl="0" w:tplc="38090019">
      <w:start w:val="1"/>
      <w:numFmt w:val="lowerLetter"/>
      <w:lvlText w:val="%1."/>
      <w:lvlJc w:val="left"/>
      <w:pPr>
        <w:ind w:left="1111" w:hanging="360"/>
      </w:pPr>
    </w:lvl>
    <w:lvl w:ilvl="1" w:tplc="38090019" w:tentative="1">
      <w:start w:val="1"/>
      <w:numFmt w:val="lowerLetter"/>
      <w:lvlText w:val="%2."/>
      <w:lvlJc w:val="left"/>
      <w:pPr>
        <w:ind w:left="1831" w:hanging="360"/>
      </w:pPr>
    </w:lvl>
    <w:lvl w:ilvl="2" w:tplc="3809001B" w:tentative="1">
      <w:start w:val="1"/>
      <w:numFmt w:val="lowerRoman"/>
      <w:lvlText w:val="%3."/>
      <w:lvlJc w:val="right"/>
      <w:pPr>
        <w:ind w:left="2551" w:hanging="180"/>
      </w:pPr>
    </w:lvl>
    <w:lvl w:ilvl="3" w:tplc="3809000F" w:tentative="1">
      <w:start w:val="1"/>
      <w:numFmt w:val="decimal"/>
      <w:lvlText w:val="%4."/>
      <w:lvlJc w:val="left"/>
      <w:pPr>
        <w:ind w:left="3271" w:hanging="360"/>
      </w:pPr>
    </w:lvl>
    <w:lvl w:ilvl="4" w:tplc="38090019" w:tentative="1">
      <w:start w:val="1"/>
      <w:numFmt w:val="lowerLetter"/>
      <w:lvlText w:val="%5."/>
      <w:lvlJc w:val="left"/>
      <w:pPr>
        <w:ind w:left="3991" w:hanging="360"/>
      </w:pPr>
    </w:lvl>
    <w:lvl w:ilvl="5" w:tplc="3809001B" w:tentative="1">
      <w:start w:val="1"/>
      <w:numFmt w:val="lowerRoman"/>
      <w:lvlText w:val="%6."/>
      <w:lvlJc w:val="right"/>
      <w:pPr>
        <w:ind w:left="4711" w:hanging="180"/>
      </w:pPr>
    </w:lvl>
    <w:lvl w:ilvl="6" w:tplc="3809000F" w:tentative="1">
      <w:start w:val="1"/>
      <w:numFmt w:val="decimal"/>
      <w:lvlText w:val="%7."/>
      <w:lvlJc w:val="left"/>
      <w:pPr>
        <w:ind w:left="5431" w:hanging="360"/>
      </w:pPr>
    </w:lvl>
    <w:lvl w:ilvl="7" w:tplc="38090019" w:tentative="1">
      <w:start w:val="1"/>
      <w:numFmt w:val="lowerLetter"/>
      <w:lvlText w:val="%8."/>
      <w:lvlJc w:val="left"/>
      <w:pPr>
        <w:ind w:left="6151" w:hanging="360"/>
      </w:pPr>
    </w:lvl>
    <w:lvl w:ilvl="8" w:tplc="38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7" w15:restartNumberingAfterBreak="0">
    <w:nsid w:val="3B014F70"/>
    <w:multiLevelType w:val="hybridMultilevel"/>
    <w:tmpl w:val="3EFCC9E0"/>
    <w:lvl w:ilvl="0" w:tplc="44803D86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3FC0765F"/>
    <w:multiLevelType w:val="hybridMultilevel"/>
    <w:tmpl w:val="A37692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B08A7"/>
    <w:multiLevelType w:val="multilevel"/>
    <w:tmpl w:val="44FB08A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521CC9"/>
    <w:multiLevelType w:val="hybridMultilevel"/>
    <w:tmpl w:val="326473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59AC"/>
    <w:multiLevelType w:val="hybridMultilevel"/>
    <w:tmpl w:val="E8B28C70"/>
    <w:lvl w:ilvl="0" w:tplc="38090019">
      <w:start w:val="1"/>
      <w:numFmt w:val="lowerLetter"/>
      <w:lvlText w:val="%1."/>
      <w:lvlJc w:val="left"/>
      <w:pPr>
        <w:ind w:left="1188" w:hanging="360"/>
      </w:pPr>
    </w:lvl>
    <w:lvl w:ilvl="1" w:tplc="38090019">
      <w:start w:val="1"/>
      <w:numFmt w:val="lowerLetter"/>
      <w:lvlText w:val="%2."/>
      <w:lvlJc w:val="left"/>
      <w:pPr>
        <w:ind w:left="1908" w:hanging="360"/>
      </w:pPr>
    </w:lvl>
    <w:lvl w:ilvl="2" w:tplc="3809001B">
      <w:start w:val="1"/>
      <w:numFmt w:val="lowerRoman"/>
      <w:lvlText w:val="%3."/>
      <w:lvlJc w:val="right"/>
      <w:pPr>
        <w:ind w:left="2628" w:hanging="180"/>
      </w:pPr>
    </w:lvl>
    <w:lvl w:ilvl="3" w:tplc="3809000F">
      <w:start w:val="1"/>
      <w:numFmt w:val="decimal"/>
      <w:lvlText w:val="%4."/>
      <w:lvlJc w:val="left"/>
      <w:pPr>
        <w:ind w:left="3348" w:hanging="360"/>
      </w:pPr>
    </w:lvl>
    <w:lvl w:ilvl="4" w:tplc="38090019">
      <w:start w:val="1"/>
      <w:numFmt w:val="lowerLetter"/>
      <w:lvlText w:val="%5."/>
      <w:lvlJc w:val="left"/>
      <w:pPr>
        <w:ind w:left="4068" w:hanging="360"/>
      </w:pPr>
    </w:lvl>
    <w:lvl w:ilvl="5" w:tplc="3809001B">
      <w:start w:val="1"/>
      <w:numFmt w:val="lowerRoman"/>
      <w:lvlText w:val="%6."/>
      <w:lvlJc w:val="right"/>
      <w:pPr>
        <w:ind w:left="4788" w:hanging="180"/>
      </w:pPr>
    </w:lvl>
    <w:lvl w:ilvl="6" w:tplc="3809000F">
      <w:start w:val="1"/>
      <w:numFmt w:val="decimal"/>
      <w:lvlText w:val="%7."/>
      <w:lvlJc w:val="left"/>
      <w:pPr>
        <w:ind w:left="5508" w:hanging="360"/>
      </w:pPr>
    </w:lvl>
    <w:lvl w:ilvl="7" w:tplc="38090019">
      <w:start w:val="1"/>
      <w:numFmt w:val="lowerLetter"/>
      <w:lvlText w:val="%8."/>
      <w:lvlJc w:val="left"/>
      <w:pPr>
        <w:ind w:left="6228" w:hanging="360"/>
      </w:pPr>
    </w:lvl>
    <w:lvl w:ilvl="8" w:tplc="3809001B">
      <w:start w:val="1"/>
      <w:numFmt w:val="lowerRoman"/>
      <w:lvlText w:val="%9."/>
      <w:lvlJc w:val="right"/>
      <w:pPr>
        <w:ind w:left="6948" w:hanging="180"/>
      </w:pPr>
    </w:lvl>
  </w:abstractNum>
  <w:abstractNum w:abstractNumId="12" w15:restartNumberingAfterBreak="0">
    <w:nsid w:val="4A991B20"/>
    <w:multiLevelType w:val="hybridMultilevel"/>
    <w:tmpl w:val="32CE65A4"/>
    <w:lvl w:ilvl="0" w:tplc="BA20DEE2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6B23074"/>
    <w:multiLevelType w:val="hybridMultilevel"/>
    <w:tmpl w:val="297CCEDE"/>
    <w:lvl w:ilvl="0" w:tplc="4BC653D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56F8436D"/>
    <w:multiLevelType w:val="hybridMultilevel"/>
    <w:tmpl w:val="DD6C17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80FE2"/>
    <w:multiLevelType w:val="hybridMultilevel"/>
    <w:tmpl w:val="E5766CE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F2663"/>
    <w:multiLevelType w:val="hybridMultilevel"/>
    <w:tmpl w:val="D8002E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91E50"/>
    <w:multiLevelType w:val="hybridMultilevel"/>
    <w:tmpl w:val="77D6D14C"/>
    <w:lvl w:ilvl="0" w:tplc="DAC8AF84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CCB0835"/>
    <w:multiLevelType w:val="hybridMultilevel"/>
    <w:tmpl w:val="26F83A96"/>
    <w:lvl w:ilvl="0" w:tplc="FA4A799C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color w:val="auto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E80D16"/>
    <w:multiLevelType w:val="hybridMultilevel"/>
    <w:tmpl w:val="5E3479FE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DF12C9"/>
    <w:multiLevelType w:val="hybridMultilevel"/>
    <w:tmpl w:val="BB6E0F7C"/>
    <w:lvl w:ilvl="0" w:tplc="38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4"/>
  </w:num>
  <w:num w:numId="8">
    <w:abstractNumId w:val="1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6"/>
  </w:num>
  <w:num w:numId="14">
    <w:abstractNumId w:val="16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A5"/>
    <w:rsid w:val="00002C20"/>
    <w:rsid w:val="00036B92"/>
    <w:rsid w:val="00044CDC"/>
    <w:rsid w:val="00067DFF"/>
    <w:rsid w:val="00090518"/>
    <w:rsid w:val="000A792D"/>
    <w:rsid w:val="000D61C5"/>
    <w:rsid w:val="000E130F"/>
    <w:rsid w:val="001302A9"/>
    <w:rsid w:val="001302F5"/>
    <w:rsid w:val="0015012F"/>
    <w:rsid w:val="00150D9B"/>
    <w:rsid w:val="00152FFD"/>
    <w:rsid w:val="00171990"/>
    <w:rsid w:val="001A094A"/>
    <w:rsid w:val="001E3488"/>
    <w:rsid w:val="001F1F32"/>
    <w:rsid w:val="001F6174"/>
    <w:rsid w:val="002119EE"/>
    <w:rsid w:val="00226CFA"/>
    <w:rsid w:val="002350A3"/>
    <w:rsid w:val="002353CC"/>
    <w:rsid w:val="00287977"/>
    <w:rsid w:val="002D672B"/>
    <w:rsid w:val="002E2601"/>
    <w:rsid w:val="002E35D7"/>
    <w:rsid w:val="002F3E82"/>
    <w:rsid w:val="0030294B"/>
    <w:rsid w:val="003600DA"/>
    <w:rsid w:val="00382334"/>
    <w:rsid w:val="003B684A"/>
    <w:rsid w:val="003D72AD"/>
    <w:rsid w:val="003E066B"/>
    <w:rsid w:val="00403312"/>
    <w:rsid w:val="00432F2A"/>
    <w:rsid w:val="00446AD4"/>
    <w:rsid w:val="00462072"/>
    <w:rsid w:val="004631C1"/>
    <w:rsid w:val="00475B0D"/>
    <w:rsid w:val="004829AF"/>
    <w:rsid w:val="0049002D"/>
    <w:rsid w:val="004A05AD"/>
    <w:rsid w:val="004A6E2D"/>
    <w:rsid w:val="004B6127"/>
    <w:rsid w:val="004F594C"/>
    <w:rsid w:val="005126FE"/>
    <w:rsid w:val="00524064"/>
    <w:rsid w:val="0053138B"/>
    <w:rsid w:val="00532677"/>
    <w:rsid w:val="00532A27"/>
    <w:rsid w:val="00547992"/>
    <w:rsid w:val="00547AC1"/>
    <w:rsid w:val="00561814"/>
    <w:rsid w:val="00585EFF"/>
    <w:rsid w:val="00597EDE"/>
    <w:rsid w:val="005A5953"/>
    <w:rsid w:val="005C62BA"/>
    <w:rsid w:val="005E1C41"/>
    <w:rsid w:val="00605283"/>
    <w:rsid w:val="00642A38"/>
    <w:rsid w:val="006A522B"/>
    <w:rsid w:val="00705D40"/>
    <w:rsid w:val="007130E1"/>
    <w:rsid w:val="00761FBC"/>
    <w:rsid w:val="007C0904"/>
    <w:rsid w:val="007C6EDA"/>
    <w:rsid w:val="007E035C"/>
    <w:rsid w:val="007E2C63"/>
    <w:rsid w:val="00804766"/>
    <w:rsid w:val="008047E1"/>
    <w:rsid w:val="0081161B"/>
    <w:rsid w:val="0081454B"/>
    <w:rsid w:val="00850585"/>
    <w:rsid w:val="00864584"/>
    <w:rsid w:val="00865B23"/>
    <w:rsid w:val="00872BF9"/>
    <w:rsid w:val="008863B9"/>
    <w:rsid w:val="0089797C"/>
    <w:rsid w:val="008A63B3"/>
    <w:rsid w:val="008A730A"/>
    <w:rsid w:val="008B6A72"/>
    <w:rsid w:val="00907792"/>
    <w:rsid w:val="00910086"/>
    <w:rsid w:val="00916407"/>
    <w:rsid w:val="00916A67"/>
    <w:rsid w:val="009203CD"/>
    <w:rsid w:val="00951736"/>
    <w:rsid w:val="009520F6"/>
    <w:rsid w:val="009545FB"/>
    <w:rsid w:val="00966A35"/>
    <w:rsid w:val="0097050B"/>
    <w:rsid w:val="00970B2F"/>
    <w:rsid w:val="00974558"/>
    <w:rsid w:val="00994788"/>
    <w:rsid w:val="009D281F"/>
    <w:rsid w:val="009D405D"/>
    <w:rsid w:val="00A071D6"/>
    <w:rsid w:val="00A111C3"/>
    <w:rsid w:val="00A20C3B"/>
    <w:rsid w:val="00A211BA"/>
    <w:rsid w:val="00A544A4"/>
    <w:rsid w:val="00A54CE4"/>
    <w:rsid w:val="00A66A1D"/>
    <w:rsid w:val="00A85569"/>
    <w:rsid w:val="00A904E8"/>
    <w:rsid w:val="00A9536E"/>
    <w:rsid w:val="00AB2F9E"/>
    <w:rsid w:val="00AC1447"/>
    <w:rsid w:val="00AC1A28"/>
    <w:rsid w:val="00B03646"/>
    <w:rsid w:val="00B07BAC"/>
    <w:rsid w:val="00B37201"/>
    <w:rsid w:val="00B5556C"/>
    <w:rsid w:val="00B6148B"/>
    <w:rsid w:val="00B74EA9"/>
    <w:rsid w:val="00B87E2E"/>
    <w:rsid w:val="00B9245C"/>
    <w:rsid w:val="00BE0510"/>
    <w:rsid w:val="00C037FC"/>
    <w:rsid w:val="00C106C9"/>
    <w:rsid w:val="00C27B53"/>
    <w:rsid w:val="00C340BF"/>
    <w:rsid w:val="00C46419"/>
    <w:rsid w:val="00C50255"/>
    <w:rsid w:val="00C510F0"/>
    <w:rsid w:val="00C8042C"/>
    <w:rsid w:val="00CE0E26"/>
    <w:rsid w:val="00D12355"/>
    <w:rsid w:val="00D131B5"/>
    <w:rsid w:val="00D20A86"/>
    <w:rsid w:val="00D31CE8"/>
    <w:rsid w:val="00D36B32"/>
    <w:rsid w:val="00D4372E"/>
    <w:rsid w:val="00D463AC"/>
    <w:rsid w:val="00D50779"/>
    <w:rsid w:val="00D908F8"/>
    <w:rsid w:val="00DB6E56"/>
    <w:rsid w:val="00DC6FBA"/>
    <w:rsid w:val="00DD419A"/>
    <w:rsid w:val="00DD7197"/>
    <w:rsid w:val="00E109E3"/>
    <w:rsid w:val="00E1721D"/>
    <w:rsid w:val="00E8530A"/>
    <w:rsid w:val="00E951A5"/>
    <w:rsid w:val="00E95FB6"/>
    <w:rsid w:val="00EA2FC0"/>
    <w:rsid w:val="00EB47B8"/>
    <w:rsid w:val="00F06C54"/>
    <w:rsid w:val="00F12D3A"/>
    <w:rsid w:val="00F33983"/>
    <w:rsid w:val="00F55D7F"/>
    <w:rsid w:val="00F66869"/>
    <w:rsid w:val="00F836E1"/>
    <w:rsid w:val="00F83CBB"/>
    <w:rsid w:val="00FB43BA"/>
    <w:rsid w:val="00FB6693"/>
    <w:rsid w:val="00FC2382"/>
    <w:rsid w:val="00FD726F"/>
    <w:rsid w:val="00FE3449"/>
    <w:rsid w:val="00FE5141"/>
    <w:rsid w:val="00FF59F8"/>
    <w:rsid w:val="08B071B1"/>
    <w:rsid w:val="20940D05"/>
    <w:rsid w:val="20C04D65"/>
    <w:rsid w:val="23D637CD"/>
    <w:rsid w:val="2B770EC2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2B628F"/>
  <w15:docId w15:val="{D8E3D956-DA9A-4E2A-ADBE-C55D7CB0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2355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532A27"/>
    <w:pPr>
      <w:spacing w:after="200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532A27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761372-387E-471E-9DC7-175B5DDA7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</dc:creator>
  <cp:keywords/>
  <dc:description/>
  <cp:lastModifiedBy>Riccelia Junifa</cp:lastModifiedBy>
  <cp:revision>2</cp:revision>
  <cp:lastPrinted>2024-08-01T08:50:00Z</cp:lastPrinted>
  <dcterms:created xsi:type="dcterms:W3CDTF">2025-07-16T09:30:00Z</dcterms:created>
  <dcterms:modified xsi:type="dcterms:W3CDTF">2025-07-16T09:30:00Z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