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EF06">
      <w:pPr>
        <w:spacing w:after="0" w:line="240" w:lineRule="auto"/>
        <w:jc w:val="center"/>
        <w:rPr>
          <w:rFonts w:ascii="Bookman Old Style" w:hAnsi="Bookman Old Style" w:cs="Arial"/>
          <w:b/>
        </w:rPr>
      </w:pPr>
      <w:r>
        <w:rPr>
          <w:lang w:val="en-US"/>
        </w:rPr>
        <w:drawing>
          <wp:inline distT="0" distB="0" distL="0" distR="0">
            <wp:extent cx="6381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8175" cy="800100"/>
                    </a:xfrm>
                    <a:prstGeom prst="rect">
                      <a:avLst/>
                    </a:prstGeom>
                    <a:noFill/>
                    <a:ln>
                      <a:noFill/>
                    </a:ln>
                  </pic:spPr>
                </pic:pic>
              </a:graphicData>
            </a:graphic>
          </wp:inline>
        </w:drawing>
      </w:r>
    </w:p>
    <w:p w14:paraId="40FCB32A">
      <w:pPr>
        <w:spacing w:after="0" w:line="240" w:lineRule="auto"/>
        <w:jc w:val="center"/>
        <w:rPr>
          <w:rFonts w:ascii="Bookman Old Style" w:hAnsi="Bookman Old Style" w:cs="Arial"/>
          <w:b/>
        </w:rPr>
      </w:pPr>
    </w:p>
    <w:p w14:paraId="39722102">
      <w:pPr>
        <w:spacing w:after="0" w:line="240" w:lineRule="auto"/>
        <w:jc w:val="center"/>
        <w:rPr>
          <w:rFonts w:ascii="Bookman Old Style" w:hAnsi="Bookman Old Style" w:cs="Arial"/>
          <w:u w:val="single"/>
        </w:rPr>
      </w:pPr>
      <w:r>
        <w:rPr>
          <w:rFonts w:ascii="Bookman Old Style" w:hAnsi="Bookman Old Style" w:cs="Arial"/>
        </w:rPr>
        <w:t xml:space="preserve">PENGADILAN TINGGI AGAMA </w:t>
      </w:r>
      <w:r>
        <w:rPr>
          <w:rFonts w:ascii="Bookman Old Style" w:hAnsi="Bookman Old Style" w:cs="Arial"/>
          <w:lang w:val="en-US"/>
        </w:rPr>
        <w:t>PADANG</w:t>
      </w:r>
    </w:p>
    <w:p w14:paraId="6A691FE4">
      <w:pPr>
        <w:spacing w:after="0" w:line="240" w:lineRule="auto"/>
        <w:jc w:val="center"/>
        <w:rPr>
          <w:rFonts w:ascii="Bookman Old Style" w:hAnsi="Bookman Old Style" w:cs="Arial"/>
          <w:lang w:val="en-US"/>
        </w:rPr>
      </w:pPr>
      <w:r>
        <w:rPr>
          <w:rFonts w:ascii="Bookman Old Style" w:hAnsi="Bookman Old Style" w:cs="Arial"/>
        </w:rPr>
        <w:t xml:space="preserve">KEPUTUSAN KETUA PENGADILAN TINGGI AGAMA </w:t>
      </w:r>
      <w:r>
        <w:rPr>
          <w:rFonts w:ascii="Bookman Old Style" w:hAnsi="Bookman Old Style" w:cs="Arial"/>
          <w:lang w:val="en-US"/>
        </w:rPr>
        <w:t>PADANG</w:t>
      </w:r>
    </w:p>
    <w:p w14:paraId="5DF969AF">
      <w:pPr>
        <w:spacing w:after="0" w:line="240" w:lineRule="auto"/>
        <w:jc w:val="center"/>
        <w:rPr>
          <w:rFonts w:hint="default" w:ascii="Bookman Old Style" w:hAnsi="Bookman Old Style" w:cs="Arial"/>
          <w:lang w:val="en-US"/>
        </w:rPr>
      </w:pPr>
      <w:r>
        <w:rPr>
          <w:rFonts w:ascii="Bookman Old Style" w:hAnsi="Bookman Old Style" w:cs="Arial"/>
        </w:rPr>
        <w:t xml:space="preserve">NOMOR </w:t>
      </w:r>
      <w:r>
        <w:rPr>
          <w:rFonts w:hint="default" w:ascii="Bookman Old Style" w:hAnsi="Bookman Old Style" w:cs="Arial"/>
          <w:lang w:val="en-US"/>
        </w:rPr>
        <w:t xml:space="preserve">: </w:t>
      </w:r>
      <w:r>
        <w:rPr>
          <w:rFonts w:hint="default" w:ascii="Bookman Old Style" w:hAnsi="Bookman Old Style" w:cs="Arial"/>
          <w:color w:val="FFFFFF" w:themeColor="background1"/>
          <w:lang w:val="en-US"/>
          <w14:textFill>
            <w14:solidFill>
              <w14:schemeClr w14:val="bg1"/>
            </w14:solidFill>
          </w14:textFill>
        </w:rPr>
        <w:t>1504</w:t>
      </w:r>
      <w:r>
        <w:rPr>
          <w:rFonts w:ascii="Bookman Old Style" w:hAnsi="Bookman Old Style" w:cs="Arial"/>
          <w:lang w:val="en-US"/>
        </w:rPr>
        <w:t>/KPTA.</w:t>
      </w:r>
      <w:r>
        <w:rPr>
          <w:rFonts w:ascii="Bookman Old Style" w:hAnsi="Bookman Old Style" w:cs="Arial"/>
        </w:rPr>
        <w:t>W</w:t>
      </w:r>
      <w:r>
        <w:rPr>
          <w:rFonts w:ascii="Bookman Old Style" w:hAnsi="Bookman Old Style" w:cs="Arial"/>
          <w:lang w:val="en-US"/>
        </w:rPr>
        <w:t>3</w:t>
      </w:r>
      <w:r>
        <w:rPr>
          <w:rFonts w:ascii="Bookman Old Style" w:hAnsi="Bookman Old Style" w:cs="Arial"/>
        </w:rPr>
        <w:t>-A/</w:t>
      </w:r>
      <w:r>
        <w:rPr>
          <w:rFonts w:ascii="Bookman Old Style" w:hAnsi="Bookman Old Style" w:cs="Arial"/>
          <w:lang w:val="en-US"/>
        </w:rPr>
        <w:t>HK2.6</w:t>
      </w:r>
      <w:r>
        <w:rPr>
          <w:rFonts w:ascii="Bookman Old Style" w:hAnsi="Bookman Old Style" w:cs="Arial"/>
        </w:rPr>
        <w:t>/V</w:t>
      </w:r>
      <w:r>
        <w:rPr>
          <w:rFonts w:hint="default" w:ascii="Bookman Old Style" w:hAnsi="Bookman Old Style" w:cs="Arial"/>
          <w:lang w:val="en-US"/>
        </w:rPr>
        <w:t>II</w:t>
      </w:r>
      <w:r>
        <w:rPr>
          <w:rFonts w:ascii="Bookman Old Style" w:hAnsi="Bookman Old Style" w:cs="Arial"/>
        </w:rPr>
        <w:t>/20</w:t>
      </w:r>
      <w:r>
        <w:rPr>
          <w:rFonts w:ascii="Bookman Old Style" w:hAnsi="Bookman Old Style" w:cs="Arial"/>
          <w:lang w:val="en-US"/>
        </w:rPr>
        <w:t>2</w:t>
      </w:r>
      <w:r>
        <w:rPr>
          <w:rFonts w:hint="default" w:ascii="Bookman Old Style" w:hAnsi="Bookman Old Style" w:cs="Arial"/>
          <w:lang w:val="en-US"/>
        </w:rPr>
        <w:t>5</w:t>
      </w:r>
    </w:p>
    <w:p w14:paraId="44584214">
      <w:pPr>
        <w:spacing w:after="0" w:line="240" w:lineRule="auto"/>
        <w:jc w:val="center"/>
        <w:rPr>
          <w:rFonts w:ascii="Bookman Old Style" w:hAnsi="Bookman Old Style" w:cs="Arial"/>
        </w:rPr>
      </w:pPr>
    </w:p>
    <w:p w14:paraId="08EBDB80">
      <w:pPr>
        <w:spacing w:after="0" w:line="240" w:lineRule="auto"/>
        <w:jc w:val="center"/>
        <w:rPr>
          <w:rFonts w:ascii="Bookman Old Style" w:hAnsi="Bookman Old Style" w:cs="Arial"/>
        </w:rPr>
      </w:pPr>
      <w:r>
        <w:rPr>
          <w:rFonts w:ascii="Bookman Old Style" w:hAnsi="Bookman Old Style" w:cs="Arial"/>
        </w:rPr>
        <w:t>TENTANG</w:t>
      </w:r>
    </w:p>
    <w:p w14:paraId="5B5075FF">
      <w:pPr>
        <w:spacing w:after="0" w:line="240" w:lineRule="auto"/>
        <w:jc w:val="center"/>
        <w:rPr>
          <w:rFonts w:ascii="Bookman Old Style" w:hAnsi="Bookman Old Style" w:cs="Arial"/>
        </w:rPr>
      </w:pPr>
    </w:p>
    <w:p w14:paraId="1ACC47FF">
      <w:pPr>
        <w:spacing w:after="0" w:line="240" w:lineRule="auto"/>
        <w:jc w:val="center"/>
        <w:rPr>
          <w:rFonts w:ascii="Bookman Old Style" w:hAnsi="Bookman Old Style" w:cs="Arial"/>
        </w:rPr>
      </w:pPr>
      <w:bookmarkStart w:id="0" w:name="_Hlk521393637"/>
      <w:bookmarkStart w:id="1" w:name="_Hlk518962929"/>
      <w:r>
        <w:rPr>
          <w:rFonts w:hint="default" w:ascii="Bookman Old Style" w:hAnsi="Bookman Old Style" w:cs="Arial"/>
          <w:lang w:val="en-US"/>
        </w:rPr>
        <w:t xml:space="preserve">PERUBAHAN KETIGA ATAS </w:t>
      </w:r>
      <w:r>
        <w:rPr>
          <w:rFonts w:ascii="Bookman Old Style" w:hAnsi="Bookman Old Style" w:cs="Arial"/>
        </w:rPr>
        <w:t xml:space="preserve">DAFTAR URUT SENIORITAS HAKIM TINGGI, </w:t>
      </w:r>
    </w:p>
    <w:p w14:paraId="75015914">
      <w:pPr>
        <w:spacing w:after="0" w:line="240" w:lineRule="auto"/>
        <w:jc w:val="center"/>
        <w:rPr>
          <w:rFonts w:ascii="Bookman Old Style" w:hAnsi="Bookman Old Style" w:cs="Arial"/>
        </w:rPr>
      </w:pPr>
      <w:r>
        <w:rPr>
          <w:rFonts w:ascii="Bookman Old Style" w:hAnsi="Bookman Old Style" w:cs="Arial"/>
          <w:lang w:val="en-US"/>
        </w:rPr>
        <w:t>SENIORITAS KEPANITERAAN,</w:t>
      </w:r>
      <w:r>
        <w:rPr>
          <w:rFonts w:hint="default" w:ascii="Bookman Old Style" w:hAnsi="Bookman Old Style" w:cs="Arial"/>
          <w:lang w:val="en-US"/>
        </w:rPr>
        <w:t xml:space="preserve"> </w:t>
      </w:r>
      <w:r>
        <w:rPr>
          <w:rFonts w:ascii="Bookman Old Style" w:hAnsi="Bookman Old Style" w:cs="Arial"/>
          <w:lang w:val="en-US"/>
        </w:rPr>
        <w:t xml:space="preserve"> </w:t>
      </w:r>
      <w:r>
        <w:rPr>
          <w:rFonts w:ascii="Bookman Old Style" w:hAnsi="Bookman Old Style" w:cs="Arial"/>
        </w:rPr>
        <w:t>SUSUNAN MAJELIS HAKIM</w:t>
      </w:r>
    </w:p>
    <w:p w14:paraId="2A09BE12">
      <w:pPr>
        <w:spacing w:after="0" w:line="240" w:lineRule="auto"/>
        <w:jc w:val="center"/>
        <w:rPr>
          <w:rFonts w:hint="default" w:ascii="Bookman Old Style" w:hAnsi="Bookman Old Style" w:cs="Arial"/>
          <w:lang w:val="en-US"/>
        </w:rPr>
      </w:pPr>
      <w:r>
        <w:rPr>
          <w:rFonts w:ascii="Bookman Old Style" w:hAnsi="Bookman Old Style" w:cs="Arial"/>
          <w:lang w:val="en-US"/>
        </w:rPr>
        <w:t xml:space="preserve"> </w:t>
      </w:r>
      <w:r>
        <w:rPr>
          <w:rFonts w:ascii="Bookman Old Style" w:hAnsi="Bookman Old Style" w:cs="Arial"/>
        </w:rPr>
        <w:t>DAN PANITERA SIDANG</w:t>
      </w:r>
      <w:r>
        <w:rPr>
          <w:rFonts w:hint="default" w:ascii="Bookman Old Style" w:hAnsi="Bookman Old Style" w:cs="Arial"/>
          <w:lang w:val="en-US"/>
        </w:rPr>
        <w:t xml:space="preserve"> </w:t>
      </w:r>
      <w:r>
        <w:rPr>
          <w:rFonts w:ascii="Bookman Old Style" w:hAnsi="Bookman Old Style" w:cs="Arial"/>
        </w:rPr>
        <w:t xml:space="preserve">PENGADILAN TINGGI AGAMA </w:t>
      </w:r>
      <w:bookmarkEnd w:id="0"/>
      <w:bookmarkEnd w:id="1"/>
      <w:r>
        <w:rPr>
          <w:rFonts w:ascii="Bookman Old Style" w:hAnsi="Bookman Old Style" w:cs="Arial"/>
          <w:lang w:val="en-US"/>
        </w:rPr>
        <w:t>PADANG TAHUN 202</w:t>
      </w:r>
      <w:r>
        <w:rPr>
          <w:rFonts w:hint="default" w:ascii="Bookman Old Style" w:hAnsi="Bookman Old Style" w:cs="Arial"/>
          <w:lang w:val="en-US"/>
        </w:rPr>
        <w:t>5</w:t>
      </w:r>
    </w:p>
    <w:p w14:paraId="52CD7E99">
      <w:pPr>
        <w:spacing w:after="0" w:line="240" w:lineRule="auto"/>
        <w:jc w:val="center"/>
        <w:rPr>
          <w:rFonts w:ascii="Bookman Old Style" w:hAnsi="Bookman Old Style" w:cs="Arial"/>
        </w:rPr>
      </w:pPr>
    </w:p>
    <w:p w14:paraId="307E870E">
      <w:pPr>
        <w:spacing w:after="0" w:line="240" w:lineRule="auto"/>
        <w:jc w:val="center"/>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p>
    <w:p w14:paraId="010FE4E7">
      <w:pPr>
        <w:spacing w:after="0" w:line="240" w:lineRule="auto"/>
        <w:jc w:val="center"/>
        <w:rPr>
          <w:rFonts w:ascii="Bookman Old Style" w:hAnsi="Bookman Old Style" w:cs="Arial"/>
          <w:b/>
        </w:rPr>
      </w:pPr>
    </w:p>
    <w:p w14:paraId="2DFFD3BF">
      <w:pPr>
        <w:tabs>
          <w:tab w:val="left" w:pos="1418"/>
          <w:tab w:val="left" w:pos="1701"/>
          <w:tab w:val="left" w:pos="1985"/>
        </w:tabs>
        <w:spacing w:after="0" w:line="240" w:lineRule="auto"/>
        <w:ind w:left="1985" w:hanging="1985"/>
        <w:jc w:val="both"/>
        <w:rPr>
          <w:rFonts w:ascii="Bookman Old Style" w:hAnsi="Bookman Old Style" w:cs="Arial"/>
        </w:rPr>
      </w:pPr>
      <w:r>
        <w:rPr>
          <w:rFonts w:ascii="Bookman Old Style" w:hAnsi="Bookman Old Style" w:cs="Arial"/>
        </w:rPr>
        <w:t>Menimbang</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a.</w:t>
      </w:r>
      <w:r>
        <w:rPr>
          <w:rFonts w:ascii="Bookman Old Style" w:hAnsi="Bookman Old Style" w:cs="Arial"/>
        </w:rPr>
        <w:tab/>
      </w:r>
      <w:r>
        <w:rPr>
          <w:rFonts w:ascii="Bookman Old Style" w:hAnsi="Bookman Old Style" w:cs="Arial"/>
        </w:rPr>
        <w:t>bahwa</w:t>
      </w:r>
      <w:r>
        <w:rPr>
          <w:rFonts w:ascii="Bookman Old Style" w:hAnsi="Bookman Old Style" w:cs="Arial"/>
          <w:lang w:val="en-US"/>
        </w:rPr>
        <w:t xml:space="preserve"> dengan </w:t>
      </w:r>
      <w:r>
        <w:rPr>
          <w:rFonts w:hint="default" w:ascii="Bookman Old Style" w:hAnsi="Bookman Old Style" w:cs="Arial"/>
          <w:lang w:val="en-US"/>
        </w:rPr>
        <w:t xml:space="preserve">telah dilantiknya </w:t>
      </w:r>
      <w:r>
        <w:rPr>
          <w:rFonts w:hint="default" w:ascii="Bookman Old Style" w:hAnsi="Bookman Old Style"/>
          <w:sz w:val="21"/>
          <w:szCs w:val="21"/>
          <w:lang w:val="en-US"/>
        </w:rPr>
        <w:t>Minda Hayati, S.H., M.H,</w:t>
      </w:r>
      <w:bookmarkStart w:id="2" w:name="_GoBack"/>
      <w:bookmarkEnd w:id="2"/>
      <w:r>
        <w:rPr>
          <w:rFonts w:hint="default" w:ascii="Bookman Old Style" w:hAnsi="Bookman Old Style"/>
          <w:sz w:val="21"/>
          <w:szCs w:val="21"/>
          <w:lang w:val="en-US"/>
        </w:rPr>
        <w:t xml:space="preserve"> </w:t>
      </w:r>
      <w:r>
        <w:rPr>
          <w:rFonts w:hint="default" w:ascii="Bookman Old Style" w:hAnsi="Bookman Old Style" w:cs="Arial"/>
          <w:lang w:val="en-US"/>
        </w:rPr>
        <w:t xml:space="preserve"> Panitera Pengganti </w:t>
      </w:r>
      <w:r>
        <w:rPr>
          <w:rFonts w:ascii="Bookman Old Style" w:hAnsi="Bookman Old Style" w:cs="Arial"/>
        </w:rPr>
        <w:t xml:space="preserve">Pengadilan Tinggi Agama </w:t>
      </w:r>
      <w:r>
        <w:rPr>
          <w:rFonts w:ascii="Bookman Old Style" w:hAnsi="Bookman Old Style" w:cs="Arial"/>
          <w:lang w:val="en-US"/>
        </w:rPr>
        <w:t>Padang</w:t>
      </w:r>
      <w:r>
        <w:rPr>
          <w:rFonts w:hint="default" w:ascii="Bookman Old Style" w:hAnsi="Bookman Old Style" w:cs="Arial"/>
          <w:lang w:val="en-US"/>
        </w:rPr>
        <w:t xml:space="preserve"> serta purnabaktinya Yulfida, S.H.</w:t>
      </w:r>
      <w:r>
        <w:rPr>
          <w:rFonts w:ascii="Bookman Old Style" w:hAnsi="Bookman Old Style" w:cs="Arial"/>
          <w:lang w:val="en-US"/>
        </w:rPr>
        <w:t xml:space="preserve"> Panitera Pengganti </w:t>
      </w:r>
      <w:r>
        <w:rPr>
          <w:rFonts w:ascii="Bookman Old Style" w:hAnsi="Bookman Old Style" w:cs="Arial"/>
        </w:rPr>
        <w:t xml:space="preserve">Pengadilan Tinggi Agama </w:t>
      </w:r>
      <w:r>
        <w:rPr>
          <w:rFonts w:ascii="Bookman Old Style" w:hAnsi="Bookman Old Style" w:cs="Arial"/>
          <w:lang w:val="en-US"/>
        </w:rPr>
        <w:t xml:space="preserve">Padang yang diperbantukan pada Pengadilan Agama </w:t>
      </w:r>
      <w:r>
        <w:rPr>
          <w:rFonts w:hint="default" w:ascii="Bookman Old Style" w:hAnsi="Bookman Old Style" w:cs="Arial"/>
          <w:lang w:val="en-US"/>
        </w:rPr>
        <w:t>Batusangkar Kelas IB</w:t>
      </w:r>
      <w:r>
        <w:rPr>
          <w:rFonts w:ascii="Bookman Old Style" w:hAnsi="Bookman Old Style" w:cs="Arial"/>
          <w:lang w:val="en-US"/>
        </w:rPr>
        <w:t xml:space="preserve">, maka </w:t>
      </w:r>
      <w:r>
        <w:rPr>
          <w:rFonts w:ascii="Bookman Old Style" w:hAnsi="Bookman Old Style" w:cs="Arial"/>
        </w:rPr>
        <w:t>perlu di</w:t>
      </w:r>
      <w:r>
        <w:rPr>
          <w:rFonts w:ascii="Bookman Old Style" w:hAnsi="Bookman Old Style" w:cs="Arial"/>
          <w:lang w:val="en-US"/>
        </w:rPr>
        <w:t>tinjau kembali</w:t>
      </w:r>
      <w:r>
        <w:rPr>
          <w:rFonts w:ascii="Bookman Old Style" w:hAnsi="Bookman Old Style" w:cs="Arial"/>
        </w:rPr>
        <w:t xml:space="preserve"> Daftar Urut Senioritas Hakim Tinggi, Daftar</w:t>
      </w:r>
      <w:r>
        <w:rPr>
          <w:rFonts w:ascii="Bookman Old Style" w:hAnsi="Bookman Old Style" w:cs="Arial"/>
          <w:lang w:val="en-US"/>
        </w:rPr>
        <w:t xml:space="preserve"> Urut Senioritas</w:t>
      </w:r>
      <w:r>
        <w:rPr>
          <w:rFonts w:ascii="Bookman Old Style" w:hAnsi="Bookman Old Style" w:cs="Arial"/>
        </w:rPr>
        <w:t xml:space="preserve"> Panitera </w:t>
      </w:r>
      <w:r>
        <w:rPr>
          <w:rFonts w:ascii="Bookman Old Style" w:hAnsi="Bookman Old Style" w:cs="Arial"/>
          <w:lang w:val="en-US"/>
        </w:rPr>
        <w:t>Pengganti</w:t>
      </w:r>
      <w:r>
        <w:rPr>
          <w:rFonts w:ascii="Bookman Old Style" w:hAnsi="Bookman Old Style" w:cs="Arial"/>
        </w:rPr>
        <w:t xml:space="preserve"> dan Susunan Majelis Hakim Pengadilan Tinggi Agama </w:t>
      </w:r>
      <w:r>
        <w:rPr>
          <w:rFonts w:ascii="Bookman Old Style" w:hAnsi="Bookman Old Style" w:cs="Arial"/>
          <w:lang w:val="en-US"/>
        </w:rPr>
        <w:t>Padang</w:t>
      </w:r>
      <w:r>
        <w:rPr>
          <w:rFonts w:ascii="Bookman Old Style" w:hAnsi="Bookman Old Style" w:cs="Arial"/>
        </w:rPr>
        <w:t>;</w:t>
      </w:r>
    </w:p>
    <w:p w14:paraId="2ECFBD7A">
      <w:pPr>
        <w:tabs>
          <w:tab w:val="left" w:pos="1418"/>
          <w:tab w:val="left" w:pos="1701"/>
          <w:tab w:val="left" w:pos="1985"/>
        </w:tabs>
        <w:spacing w:after="0" w:line="240" w:lineRule="auto"/>
        <w:ind w:left="1985" w:hanging="1985"/>
        <w:jc w:val="both"/>
        <w:rPr>
          <w:rFonts w:ascii="Bookman Old Style" w:hAnsi="Bookman Old Style" w:cs="Arial"/>
        </w:rPr>
      </w:pPr>
    </w:p>
    <w:p w14:paraId="72A4C0F7">
      <w:pPr>
        <w:tabs>
          <w:tab w:val="left" w:pos="1418"/>
          <w:tab w:val="left" w:pos="1701"/>
          <w:tab w:val="left" w:pos="1985"/>
        </w:tabs>
        <w:spacing w:after="0" w:line="240" w:lineRule="auto"/>
        <w:ind w:left="1985" w:hanging="1985"/>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b.</w:t>
      </w:r>
      <w:r>
        <w:rPr>
          <w:rFonts w:ascii="Bookman Old Style" w:hAnsi="Bookman Old Style" w:cs="Arial"/>
        </w:rPr>
        <w:tab/>
      </w:r>
      <w:r>
        <w:rPr>
          <w:rFonts w:ascii="Bookman Old Style" w:hAnsi="Bookman Old Style" w:cs="Arial"/>
        </w:rPr>
        <w:t xml:space="preserve">bahwa berdasarkan pertimbangan sebagaimana dimaksud huruf a, perlu menetapkan Keputusan Ketua Pengadilan Tinggi Agama </w:t>
      </w:r>
      <w:r>
        <w:rPr>
          <w:rFonts w:ascii="Bookman Old Style" w:hAnsi="Bookman Old Style" w:cs="Arial"/>
          <w:lang w:val="en-US"/>
        </w:rPr>
        <w:t>Padang</w:t>
      </w:r>
      <w:r>
        <w:rPr>
          <w:rFonts w:ascii="Bookman Old Style" w:hAnsi="Bookman Old Style" w:cs="Arial"/>
        </w:rPr>
        <w:t xml:space="preserve"> tentang Daftar Urut Senioritas Hakim Tinggi, </w:t>
      </w:r>
      <w:r>
        <w:rPr>
          <w:rFonts w:ascii="Bookman Old Style" w:hAnsi="Bookman Old Style" w:cs="Arial"/>
          <w:lang w:val="en-US"/>
        </w:rPr>
        <w:t xml:space="preserve">Senioritas Kepaniteraan, dan </w:t>
      </w:r>
      <w:r>
        <w:rPr>
          <w:rFonts w:ascii="Bookman Old Style" w:hAnsi="Bookman Old Style" w:cs="Arial"/>
        </w:rPr>
        <w:t>Susunan Majelis Hakim</w:t>
      </w:r>
      <w:r>
        <w:rPr>
          <w:rFonts w:ascii="Bookman Old Style" w:hAnsi="Bookman Old Style" w:cs="Arial"/>
          <w:lang w:val="en-US"/>
        </w:rPr>
        <w:t xml:space="preserve"> serta </w:t>
      </w:r>
      <w:r>
        <w:rPr>
          <w:rFonts w:ascii="Bookman Old Style" w:hAnsi="Bookman Old Style" w:cs="Arial"/>
        </w:rPr>
        <w:t xml:space="preserve">Panitera Sidang </w:t>
      </w:r>
      <w:r>
        <w:rPr>
          <w:rFonts w:ascii="Bookman Old Style" w:hAnsi="Bookman Old Style" w:cs="Arial"/>
          <w:lang w:val="en-US"/>
        </w:rPr>
        <w:t xml:space="preserve">pada </w:t>
      </w:r>
      <w:r>
        <w:rPr>
          <w:rFonts w:ascii="Bookman Old Style" w:hAnsi="Bookman Old Style" w:cs="Arial"/>
        </w:rPr>
        <w:t xml:space="preserve">Pengadilan Tinggi Agama </w:t>
      </w:r>
      <w:r>
        <w:rPr>
          <w:rFonts w:ascii="Bookman Old Style" w:hAnsi="Bookman Old Style" w:cs="Arial"/>
          <w:lang w:val="en-US"/>
        </w:rPr>
        <w:t>Padang</w:t>
      </w:r>
      <w:r>
        <w:rPr>
          <w:rFonts w:ascii="Bookman Old Style" w:hAnsi="Bookman Old Style" w:cs="Arial"/>
        </w:rPr>
        <w:t>;</w:t>
      </w:r>
    </w:p>
    <w:p w14:paraId="358BC728">
      <w:pPr>
        <w:tabs>
          <w:tab w:val="left" w:pos="1985"/>
          <w:tab w:val="left" w:pos="2268"/>
        </w:tabs>
        <w:spacing w:after="0" w:line="240" w:lineRule="auto"/>
        <w:ind w:left="2552" w:hanging="2552"/>
        <w:jc w:val="both"/>
        <w:rPr>
          <w:rFonts w:ascii="Bookman Old Style" w:hAnsi="Bookman Old Style" w:cs="Arial"/>
        </w:rPr>
      </w:pPr>
    </w:p>
    <w:p w14:paraId="4E641416">
      <w:pPr>
        <w:tabs>
          <w:tab w:val="left" w:pos="1560"/>
          <w:tab w:val="left" w:pos="1701"/>
        </w:tabs>
        <w:spacing w:after="0" w:line="240" w:lineRule="auto"/>
        <w:ind w:left="1987" w:hanging="1987"/>
        <w:jc w:val="both"/>
        <w:rPr>
          <w:rFonts w:ascii="Bookman Old Style" w:hAnsi="Bookman Old Style" w:cs="Tahoma"/>
          <w:bCs/>
        </w:rPr>
      </w:pPr>
      <w:r>
        <w:rPr>
          <w:rFonts w:ascii="Bookman Old Style" w:hAnsi="Bookman Old Style" w:cs="Arial"/>
        </w:rPr>
        <w:t>Mengingat</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1.</w:t>
      </w:r>
      <w:r>
        <w:rPr>
          <w:rFonts w:ascii="Bookman Old Style" w:hAnsi="Bookman Old Style" w:cs="Arial"/>
        </w:rPr>
        <w:tab/>
      </w:r>
      <w:r>
        <w:rPr>
          <w:rFonts w:ascii="Bookman Old Style" w:hAnsi="Bookman Old Style" w:cs="Tahoma"/>
          <w:bCs/>
        </w:rPr>
        <w:t>Undang-Undang Nomor 3 Tahun 2009 tentang Perubahan Kedua Atas Undang-Undang Nomor 14 Tahun 1985 tentang Mahkamah Agung;</w:t>
      </w:r>
    </w:p>
    <w:p w14:paraId="70635F90">
      <w:pPr>
        <w:tabs>
          <w:tab w:val="left" w:pos="1560"/>
          <w:tab w:val="left" w:pos="1701"/>
        </w:tabs>
        <w:spacing w:after="0" w:line="240" w:lineRule="auto"/>
        <w:ind w:left="1987" w:hanging="1845"/>
        <w:jc w:val="both"/>
        <w:rPr>
          <w:rFonts w:ascii="Bookman Old Style" w:hAnsi="Bookman Old Style" w:cs="Tahoma"/>
          <w:bCs/>
        </w:rPr>
      </w:pPr>
      <w:r>
        <w:rPr>
          <w:rFonts w:ascii="Bookman Old Style" w:hAnsi="Bookman Old Style" w:cs="Arial"/>
        </w:rPr>
        <w:tab/>
      </w:r>
      <w:r>
        <w:rPr>
          <w:rFonts w:ascii="Bookman Old Style" w:hAnsi="Bookman Old Style" w:cs="Arial"/>
        </w:rPr>
        <w:tab/>
      </w:r>
      <w:r>
        <w:rPr>
          <w:rFonts w:ascii="Bookman Old Style" w:hAnsi="Bookman Old Style" w:cs="Arial"/>
        </w:rPr>
        <w:t>2.</w:t>
      </w:r>
      <w:r>
        <w:rPr>
          <w:rFonts w:ascii="Bookman Old Style" w:hAnsi="Bookman Old Style" w:cs="Arial"/>
        </w:rPr>
        <w:tab/>
      </w:r>
      <w:r>
        <w:rPr>
          <w:rFonts w:ascii="Bookman Old Style" w:hAnsi="Bookman Old Style" w:cs="Tahoma"/>
          <w:bCs/>
        </w:rPr>
        <w:t>Undang-Undang Nomor 50 Tahun 2009 tentang Perubahan Kedua Atas Undang-Undang Nomor 7 Tahun 1989 tentang Peradilan Agama;</w:t>
      </w:r>
    </w:p>
    <w:p w14:paraId="2F5613C5">
      <w:pPr>
        <w:tabs>
          <w:tab w:val="left" w:pos="1418"/>
          <w:tab w:val="left" w:pos="1701"/>
        </w:tabs>
        <w:spacing w:after="0" w:line="240" w:lineRule="auto"/>
        <w:ind w:left="1985" w:hanging="1985"/>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3.</w:t>
      </w:r>
      <w:r>
        <w:rPr>
          <w:rFonts w:ascii="Bookman Old Style" w:hAnsi="Bookman Old Style" w:cs="Arial"/>
        </w:rPr>
        <w:tab/>
      </w:r>
      <w:r>
        <w:rPr>
          <w:rFonts w:ascii="Bookman Old Style" w:hAnsi="Bookman Old Style" w:cs="Arial"/>
        </w:rPr>
        <w:t>Undang-Undang Nomor 48 Tahun 2009 tentang Kekuasaan Kehakiman;</w:t>
      </w:r>
    </w:p>
    <w:p w14:paraId="14413B2B">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rPr>
        <w:tab/>
      </w:r>
      <w:r>
        <w:rPr>
          <w:rFonts w:ascii="Bookman Old Style" w:hAnsi="Bookman Old Style" w:cs="Arial"/>
        </w:rPr>
        <w:tab/>
      </w:r>
      <w:r>
        <w:rPr>
          <w:rFonts w:ascii="Bookman Old Style" w:hAnsi="Bookman Old Style" w:cs="Arial"/>
          <w:lang w:val="en-US"/>
        </w:rPr>
        <w:t>4</w:t>
      </w:r>
      <w:r>
        <w:rPr>
          <w:rFonts w:ascii="Bookman Old Style" w:hAnsi="Bookman Old Style" w:cs="Arial"/>
        </w:rPr>
        <w:t>.</w:t>
      </w:r>
      <w:r>
        <w:rPr>
          <w:rFonts w:ascii="Bookman Old Style" w:hAnsi="Bookman Old Style" w:cs="Arial"/>
        </w:rPr>
        <w:tab/>
      </w:r>
      <w:r>
        <w:rPr>
          <w:rFonts w:ascii="Bookman Old Style" w:hAnsi="Bookman Old Style" w:cs="Arial"/>
        </w:rPr>
        <w:t xml:space="preserve">Peraturan Mahkamah Agung Nomor </w:t>
      </w:r>
      <w:r>
        <w:rPr>
          <w:rFonts w:ascii="Bookman Old Style" w:hAnsi="Bookman Old Style" w:cs="Arial"/>
          <w:lang w:val="en-US"/>
        </w:rPr>
        <w:t>4</w:t>
      </w:r>
      <w:r>
        <w:rPr>
          <w:rFonts w:ascii="Bookman Old Style" w:hAnsi="Bookman Old Style" w:cs="Arial"/>
        </w:rPr>
        <w:t xml:space="preserve"> Tahun 20</w:t>
      </w:r>
      <w:r>
        <w:rPr>
          <w:rFonts w:ascii="Bookman Old Style" w:hAnsi="Bookman Old Style" w:cs="Arial"/>
          <w:lang w:val="en-US"/>
        </w:rPr>
        <w:t>22 Perobahan keempat atas Peraturan Mahkamah Agung Nomor 7 Tahun 2015 tentang Susunan</w:t>
      </w:r>
      <w:r>
        <w:rPr>
          <w:rFonts w:ascii="Bookman Old Style" w:hAnsi="Bookman Old Style" w:cs="Arial"/>
        </w:rPr>
        <w:t xml:space="preserve"> Organisasi dan Tata Kerja Kepaniteraan dan Kesekretariatan </w:t>
      </w:r>
      <w:r>
        <w:rPr>
          <w:rFonts w:ascii="Bookman Old Style" w:hAnsi="Bookman Old Style" w:cs="Arial"/>
          <w:lang w:val="en-US"/>
        </w:rPr>
        <w:t>Pengadilan</w:t>
      </w:r>
      <w:r>
        <w:rPr>
          <w:rFonts w:ascii="Bookman Old Style" w:hAnsi="Bookman Old Style" w:cs="Arial"/>
        </w:rPr>
        <w:t>;</w:t>
      </w:r>
    </w:p>
    <w:p w14:paraId="2587A8DB">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lang w:val="en-US"/>
        </w:rPr>
        <w:tab/>
      </w:r>
      <w:r>
        <w:rPr>
          <w:rFonts w:ascii="Bookman Old Style" w:hAnsi="Bookman Old Style" w:cs="Arial"/>
          <w:lang w:val="en-US"/>
        </w:rPr>
        <w:tab/>
      </w:r>
      <w:r>
        <w:rPr>
          <w:rFonts w:ascii="Bookman Old Style" w:hAnsi="Bookman Old Style" w:cs="Arial"/>
          <w:lang w:val="en-US"/>
        </w:rPr>
        <w:t>5. Surat Edaran Mahkamah Agung Nomor 1 Tahun 1982 tentang Daftar Urut Jabatan/ Senioritas Hakim.</w:t>
      </w:r>
    </w:p>
    <w:p w14:paraId="606590EE">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lang w:val="en-US"/>
        </w:rPr>
        <w:tab/>
      </w:r>
    </w:p>
    <w:p w14:paraId="3375DD38">
      <w:pPr>
        <w:tabs>
          <w:tab w:val="left" w:pos="1418"/>
        </w:tabs>
        <w:spacing w:after="0" w:line="240" w:lineRule="auto"/>
        <w:ind w:left="1765" w:hanging="1765"/>
        <w:jc w:val="center"/>
        <w:rPr>
          <w:rFonts w:ascii="Bookman Old Style" w:hAnsi="Bookman Old Style" w:cs="Arial"/>
        </w:rPr>
      </w:pPr>
      <w:r>
        <w:rPr>
          <w:rFonts w:ascii="Bookman Old Style" w:hAnsi="Bookman Old Style" w:cs="Arial"/>
        </w:rPr>
        <w:t>MEMUTUSKAN:</w:t>
      </w:r>
    </w:p>
    <w:p w14:paraId="4BB47041">
      <w:pPr>
        <w:tabs>
          <w:tab w:val="left" w:pos="1985"/>
          <w:tab w:val="left" w:pos="2268"/>
        </w:tabs>
        <w:spacing w:after="0" w:line="240" w:lineRule="auto"/>
        <w:ind w:left="2552" w:hanging="2552"/>
        <w:jc w:val="center"/>
        <w:rPr>
          <w:rFonts w:ascii="Bookman Old Style" w:hAnsi="Bookman Old Style" w:cs="Arial"/>
        </w:rPr>
      </w:pPr>
    </w:p>
    <w:p w14:paraId="64434F51">
      <w:pPr>
        <w:tabs>
          <w:tab w:val="left" w:pos="1418"/>
          <w:tab w:val="left" w:pos="1701"/>
        </w:tabs>
        <w:spacing w:after="0" w:line="240" w:lineRule="auto"/>
        <w:ind w:left="1701" w:hanging="1701"/>
        <w:jc w:val="both"/>
        <w:rPr>
          <w:rFonts w:ascii="Bookman Old Style" w:hAnsi="Bookman Old Style" w:cs="Arial"/>
        </w:rPr>
      </w:pPr>
      <w:r>
        <w:rPr>
          <w:rFonts w:ascii="Bookman Old Style" w:hAnsi="Bookman Old Style" w:cs="Arial"/>
        </w:rPr>
        <w:t>Menetapkan</w:t>
      </w:r>
      <w:r>
        <w:rPr>
          <w:rFonts w:ascii="Bookman Old Style" w:hAnsi="Bookman Old Style" w:cs="Arial"/>
        </w:rPr>
        <w:tab/>
      </w:r>
      <w:r>
        <w:rPr>
          <w:rFonts w:ascii="Bookman Old Style" w:hAnsi="Bookman Old Style" w:cs="Arial"/>
        </w:rPr>
        <w:t xml:space="preserve">: </w:t>
      </w:r>
      <w:r>
        <w:rPr>
          <w:rFonts w:ascii="Bookman Old Style" w:hAnsi="Bookman Old Style" w:cs="Arial"/>
        </w:rPr>
        <w:tab/>
      </w:r>
      <w:r>
        <w:rPr>
          <w:rFonts w:ascii="Bookman Old Style" w:hAnsi="Bookman Old Style" w:cs="Arial"/>
        </w:rPr>
        <w:t xml:space="preserve">KEPUTUSAN KETUA PENGADILAN TINGGI AGAMA </w:t>
      </w:r>
      <w:r>
        <w:rPr>
          <w:rFonts w:ascii="Bookman Old Style" w:hAnsi="Bookman Old Style" w:cs="Arial"/>
          <w:lang w:val="en-US"/>
        </w:rPr>
        <w:t>PADANG</w:t>
      </w:r>
      <w:r>
        <w:rPr>
          <w:rFonts w:ascii="Bookman Old Style" w:hAnsi="Bookman Old Style" w:cs="Arial"/>
        </w:rPr>
        <w:t xml:space="preserve"> TENTANG </w:t>
      </w:r>
      <w:r>
        <w:rPr>
          <w:rFonts w:hint="default" w:ascii="Bookman Old Style" w:hAnsi="Bookman Old Style" w:cs="Arial"/>
          <w:lang w:val="en-US"/>
        </w:rPr>
        <w:t xml:space="preserve">PERUBAHAN KEDUA ATAS </w:t>
      </w:r>
      <w:r>
        <w:rPr>
          <w:rFonts w:ascii="Bookman Old Style" w:hAnsi="Bookman Old Style" w:cs="Arial"/>
        </w:rPr>
        <w:t>DAFTAR URUT SENIORITAS HAKIM TINGGI,</w:t>
      </w:r>
      <w:r>
        <w:rPr>
          <w:rFonts w:ascii="Bookman Old Style" w:hAnsi="Bookman Old Style" w:cs="Arial"/>
          <w:lang w:val="en-US"/>
        </w:rPr>
        <w:t xml:space="preserve"> SENIORITAS KEPANITERAAN,</w:t>
      </w:r>
      <w:r>
        <w:rPr>
          <w:rFonts w:ascii="Bookman Old Style" w:hAnsi="Bookman Old Style" w:cs="Arial"/>
        </w:rPr>
        <w:t xml:space="preserve"> SUSUNAN MAJELIS HAKIM, DAN PANITERA SIDANG PENGADILAN TINGGI AGAMA </w:t>
      </w:r>
      <w:r>
        <w:rPr>
          <w:rFonts w:ascii="Bookman Old Style" w:hAnsi="Bookman Old Style" w:cs="Arial"/>
          <w:lang w:val="en-US"/>
        </w:rPr>
        <w:t>PADANG</w:t>
      </w:r>
      <w:r>
        <w:rPr>
          <w:rFonts w:ascii="Bookman Old Style" w:hAnsi="Bookman Old Style" w:cs="Arial"/>
        </w:rPr>
        <w:t>.</w:t>
      </w:r>
    </w:p>
    <w:p w14:paraId="487C502B">
      <w:pPr>
        <w:spacing w:after="0" w:line="240" w:lineRule="auto"/>
        <w:ind w:left="1701" w:hanging="1701"/>
        <w:jc w:val="both"/>
        <w:rPr>
          <w:rFonts w:ascii="Bookman Old Style" w:hAnsi="Bookman Old Style" w:cs="Arial"/>
          <w:lang w:val="en-US"/>
        </w:rPr>
      </w:pPr>
    </w:p>
    <w:p w14:paraId="1D8346F0">
      <w:pPr>
        <w:spacing w:after="0" w:line="240" w:lineRule="auto"/>
        <w:ind w:left="1701" w:hanging="1701"/>
        <w:jc w:val="both"/>
        <w:rPr>
          <w:rFonts w:ascii="Bookman Old Style" w:hAnsi="Bookman Old Style" w:cs="Arial"/>
          <w:lang w:val="en-US"/>
        </w:rPr>
      </w:pPr>
      <w:r>
        <w:rPr>
          <w:rFonts w:ascii="Bookman Old Style" w:hAnsi="Bookman Old Style" w:cs="Arial"/>
          <w:lang w:val="en-US"/>
        </w:rPr>
        <w:t xml:space="preserve">KESATU      :  Mengubah  lampiran  I, II dan III Keputusan  Ketua Pengadilan  Tinggi Agama Padang Nomor </w:t>
      </w:r>
      <w:r>
        <w:rPr>
          <w:rFonts w:hint="default" w:ascii="Bookman Old Style" w:hAnsi="Bookman Old Style" w:cs="Arial"/>
          <w:lang w:val="en-US"/>
        </w:rPr>
        <w:t>1033</w:t>
      </w:r>
      <w:r>
        <w:rPr>
          <w:rFonts w:ascii="Bookman Old Style" w:hAnsi="Bookman Old Style" w:cs="Arial"/>
          <w:lang w:val="en-US"/>
        </w:rPr>
        <w:t>/KPTA.W3-A/HK2.6/</w:t>
      </w:r>
      <w:r>
        <w:rPr>
          <w:rFonts w:hint="default" w:ascii="Bookman Old Style" w:hAnsi="Bookman Old Style" w:cs="Arial"/>
          <w:lang w:val="en-US"/>
        </w:rPr>
        <w:t>V</w:t>
      </w:r>
      <w:r>
        <w:rPr>
          <w:rFonts w:ascii="Bookman Old Style" w:hAnsi="Bookman Old Style" w:cs="Arial"/>
          <w:lang w:val="en-US"/>
        </w:rPr>
        <w:t>/202</w:t>
      </w:r>
      <w:r>
        <w:rPr>
          <w:rFonts w:hint="default" w:ascii="Bookman Old Style" w:hAnsi="Bookman Old Style" w:cs="Arial"/>
          <w:lang w:val="en-US"/>
        </w:rPr>
        <w:t>5</w:t>
      </w:r>
      <w:r>
        <w:rPr>
          <w:rFonts w:ascii="Bookman Old Style" w:hAnsi="Bookman Old Style" w:cs="Arial"/>
          <w:lang w:val="en-US"/>
        </w:rPr>
        <w:t xml:space="preserve"> tanggal </w:t>
      </w:r>
      <w:r>
        <w:rPr>
          <w:rFonts w:hint="default" w:ascii="Bookman Old Style" w:hAnsi="Bookman Old Style" w:cs="Arial"/>
          <w:lang w:val="en-US"/>
        </w:rPr>
        <w:t>5 Mei</w:t>
      </w:r>
      <w:r>
        <w:rPr>
          <w:rFonts w:ascii="Bookman Old Style" w:hAnsi="Bookman Old Style" w:cs="Arial"/>
          <w:lang w:val="en-US"/>
        </w:rPr>
        <w:t xml:space="preserve">  202</w:t>
      </w:r>
      <w:r>
        <w:rPr>
          <w:rFonts w:hint="default" w:ascii="Bookman Old Style" w:hAnsi="Bookman Old Style" w:cs="Arial"/>
          <w:lang w:val="en-US"/>
        </w:rPr>
        <w:t>5</w:t>
      </w:r>
      <w:r>
        <w:rPr>
          <w:rFonts w:ascii="Bookman Old Style" w:hAnsi="Bookman Old Style" w:cs="Arial"/>
          <w:lang w:val="en-US"/>
        </w:rPr>
        <w:t xml:space="preserve"> tentang Daftar Urut Senioritas Hakim Tinggi, Senioritas Kepaniteraan, Susunan Majelis Hakim, dan Panitera Sidang Pengadilan Tinggi Agama Padang.</w:t>
      </w:r>
    </w:p>
    <w:p w14:paraId="7F15096A">
      <w:pPr>
        <w:spacing w:after="0" w:line="240" w:lineRule="auto"/>
        <w:ind w:left="1701" w:hanging="1701"/>
        <w:jc w:val="both"/>
        <w:rPr>
          <w:rFonts w:ascii="Bookman Old Style" w:hAnsi="Bookman Old Style" w:cs="Arial"/>
          <w:lang w:val="en-US"/>
        </w:rPr>
      </w:pPr>
    </w:p>
    <w:p w14:paraId="45E2F600">
      <w:pPr>
        <w:spacing w:after="0" w:line="240" w:lineRule="auto"/>
        <w:ind w:left="1701" w:hanging="1701"/>
        <w:jc w:val="both"/>
        <w:rPr>
          <w:rFonts w:ascii="Bookman Old Style" w:hAnsi="Bookman Old Style" w:cs="Arial"/>
          <w:lang w:val="en-US"/>
        </w:rPr>
      </w:pPr>
      <w:r>
        <w:rPr>
          <w:rFonts w:ascii="Bookman Old Style" w:hAnsi="Bookman Old Style" w:cs="Arial"/>
          <w:lang w:val="en-US"/>
        </w:rPr>
        <w:t>KEDUA         :</w:t>
      </w:r>
      <w:r>
        <w:rPr>
          <w:rFonts w:ascii="Bookman Old Style" w:hAnsi="Bookman Old Style" w:cs="Arial"/>
          <w:lang w:val="en-US"/>
        </w:rPr>
        <w:tab/>
      </w:r>
      <w:r>
        <w:rPr>
          <w:rFonts w:ascii="Bookman Old Style" w:hAnsi="Bookman Old Style" w:cs="Arial"/>
          <w:lang w:val="en-US"/>
        </w:rPr>
        <w:t>Perubahan atas Lampiran III Keputusan Ketua Pengadilan Tinggi Agama Padang tersebut merupakan bagian tidak terpisahkan dari Keputusan ini, dengan ketentuan Majelis Hakim dan Panitera Sidang yang masih tersisa perkara sebelum Keputusan ini  tetap melanjutkan pemeriksaan  sampai dengan perkara selesai.;</w:t>
      </w:r>
    </w:p>
    <w:p w14:paraId="4469A224">
      <w:pPr>
        <w:spacing w:after="0" w:line="240" w:lineRule="auto"/>
        <w:ind w:left="1701" w:hanging="1701"/>
        <w:jc w:val="both"/>
        <w:rPr>
          <w:rFonts w:ascii="Bookman Old Style" w:hAnsi="Bookman Old Style" w:cs="Arial"/>
          <w:lang w:val="en-US"/>
        </w:rPr>
      </w:pPr>
    </w:p>
    <w:p w14:paraId="6DEFC2D8">
      <w:pPr>
        <w:tabs>
          <w:tab w:val="left" w:pos="1418"/>
        </w:tabs>
        <w:spacing w:after="0" w:line="240" w:lineRule="auto"/>
        <w:ind w:left="1701" w:hanging="1701"/>
        <w:jc w:val="both"/>
        <w:rPr>
          <w:rFonts w:ascii="Bookman Old Style" w:hAnsi="Bookman Old Style" w:cs="Arial"/>
          <w:lang w:val="en-US"/>
        </w:rPr>
      </w:pPr>
      <w:r>
        <w:rPr>
          <w:rFonts w:ascii="Bookman Old Style" w:hAnsi="Bookman Old Style" w:cs="Arial"/>
          <w:lang w:val="en-US"/>
        </w:rPr>
        <w:t>KETIGA</w:t>
      </w:r>
      <w:r>
        <w:rPr>
          <w:rFonts w:ascii="Bookman Old Style" w:hAnsi="Bookman Old Style" w:cs="Arial"/>
          <w:lang w:val="en-US"/>
        </w:rPr>
        <w:tab/>
      </w:r>
      <w:r>
        <w:rPr>
          <w:rFonts w:ascii="Bookman Old Style" w:hAnsi="Bookman Old Style" w:cs="Arial"/>
          <w:lang w:val="en-US"/>
        </w:rPr>
        <w:t>:</w:t>
      </w:r>
      <w:r>
        <w:rPr>
          <w:rFonts w:ascii="Bookman Old Style" w:hAnsi="Bookman Old Style" w:cs="Arial"/>
          <w:lang w:val="en-US"/>
        </w:rPr>
        <w:tab/>
      </w:r>
      <w:r>
        <w:rPr>
          <w:rFonts w:ascii="Bookman Old Style" w:hAnsi="Bookman Old Style" w:cs="Arial"/>
          <w:lang w:val="en-US"/>
        </w:rPr>
        <w:t>Majelis Hakim mempunyai tugas dan wewenang memeriksa, mengadili, dan memutus perkara banding di Pengadilan Tinggi Agama Padang.</w:t>
      </w:r>
    </w:p>
    <w:p w14:paraId="2212D527">
      <w:pPr>
        <w:tabs>
          <w:tab w:val="left" w:pos="1418"/>
        </w:tabs>
        <w:spacing w:after="0" w:line="240" w:lineRule="auto"/>
        <w:ind w:left="1701" w:hanging="1701"/>
        <w:jc w:val="both"/>
        <w:rPr>
          <w:rFonts w:ascii="Bookman Old Style" w:hAnsi="Bookman Old Style" w:cs="Arial"/>
        </w:rPr>
      </w:pPr>
    </w:p>
    <w:p w14:paraId="4787F63C">
      <w:pPr>
        <w:tabs>
          <w:tab w:val="left" w:pos="1418"/>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EMPAT</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Panitera Sidang mempunyai tugas membantu Majelis Hakim dalam melaksanakan tugas sebagaimana dimaksud dalam DIKTUM KE</w:t>
      </w:r>
      <w:r>
        <w:rPr>
          <w:rFonts w:ascii="Bookman Old Style" w:hAnsi="Bookman Old Style" w:cs="Arial"/>
          <w:lang w:val="en-US"/>
        </w:rPr>
        <w:t xml:space="preserve"> TIGA</w:t>
      </w:r>
      <w:r>
        <w:rPr>
          <w:rFonts w:ascii="Bookman Old Style" w:hAnsi="Bookman Old Style" w:cs="Arial"/>
        </w:rPr>
        <w:t>.</w:t>
      </w:r>
    </w:p>
    <w:p w14:paraId="45FE370F">
      <w:pPr>
        <w:tabs>
          <w:tab w:val="left" w:pos="1418"/>
        </w:tabs>
        <w:spacing w:after="0" w:line="240" w:lineRule="auto"/>
        <w:ind w:left="1701" w:hanging="1701"/>
        <w:jc w:val="both"/>
        <w:rPr>
          <w:rFonts w:ascii="Bookman Old Style" w:hAnsi="Bookman Old Style" w:cs="Arial"/>
        </w:rPr>
      </w:pPr>
    </w:p>
    <w:p w14:paraId="660E93A2">
      <w:pPr>
        <w:tabs>
          <w:tab w:val="left" w:pos="1418"/>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LIMA</w:t>
      </w:r>
      <w:r>
        <w:rPr>
          <w:rFonts w:ascii="Bookman Old Style" w:hAnsi="Bookman Old Style" w:cs="Arial"/>
          <w:lang w:val="en-US"/>
        </w:rPr>
        <w:tab/>
      </w:r>
      <w:r>
        <w:rPr>
          <w:rFonts w:ascii="Bookman Old Style" w:hAnsi="Bookman Old Style" w:cs="Arial"/>
          <w:lang w:val="en-US"/>
        </w:rPr>
        <w:t xml:space="preserve">:  </w:t>
      </w:r>
      <w:r>
        <w:rPr>
          <w:rFonts w:ascii="Bookman Old Style" w:hAnsi="Bookman Old Style" w:cs="Arial"/>
        </w:rPr>
        <w:t xml:space="preserve">Dalam hal berdasarkan pertimbangan menyangkut bobot perkara, dapat ditunjuk Susunan Majelis Hakim selain Susunan Majelis Hakim dalam Keputusan ini. </w:t>
      </w:r>
    </w:p>
    <w:p w14:paraId="34C872AA">
      <w:pPr>
        <w:tabs>
          <w:tab w:val="left" w:pos="1418"/>
        </w:tabs>
        <w:spacing w:after="0" w:line="240" w:lineRule="auto"/>
        <w:ind w:left="1701" w:hanging="1701"/>
        <w:jc w:val="both"/>
        <w:rPr>
          <w:rFonts w:ascii="Bookman Old Style" w:hAnsi="Bookman Old Style" w:cs="Arial"/>
        </w:rPr>
      </w:pPr>
    </w:p>
    <w:p w14:paraId="174BDF78">
      <w:pPr>
        <w:tabs>
          <w:tab w:val="left" w:pos="1418"/>
        </w:tabs>
        <w:spacing w:after="0" w:line="240" w:lineRule="auto"/>
        <w:ind w:left="1701" w:hanging="1701"/>
        <w:jc w:val="both"/>
        <w:rPr>
          <w:rFonts w:ascii="Bookman Old Style" w:hAnsi="Bookman Old Style" w:cs="Arial"/>
          <w:lang w:val="en-US"/>
        </w:rPr>
      </w:pPr>
      <w:r>
        <w:rPr>
          <w:rFonts w:ascii="Bookman Old Style" w:hAnsi="Bookman Old Style" w:cs="Arial"/>
          <w:lang w:val="en-US"/>
        </w:rPr>
        <w:t>KEENAM</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lang w:val="en-US"/>
        </w:rPr>
        <w:t>Dalam hal tertentu berdasarkan pertimbangan menyangkut bobot perkara, dapat ditunjuk Panitera sidang selain daftar yang telah ditentukan dalam Keputusan ini.</w:t>
      </w:r>
    </w:p>
    <w:p w14:paraId="5C8C8EB7">
      <w:pPr>
        <w:tabs>
          <w:tab w:val="left" w:pos="1418"/>
        </w:tabs>
        <w:spacing w:after="0" w:line="240" w:lineRule="auto"/>
        <w:ind w:left="1701" w:hanging="1701"/>
        <w:jc w:val="both"/>
        <w:rPr>
          <w:rFonts w:ascii="Bookman Old Style" w:hAnsi="Bookman Old Style" w:cs="Arial"/>
        </w:rPr>
      </w:pPr>
    </w:p>
    <w:p w14:paraId="5842A9C8">
      <w:pPr>
        <w:tabs>
          <w:tab w:val="left" w:pos="1418"/>
          <w:tab w:val="left" w:pos="1701"/>
        </w:tabs>
        <w:spacing w:after="0" w:line="240" w:lineRule="auto"/>
        <w:ind w:left="1701" w:hanging="1701"/>
        <w:jc w:val="both"/>
        <w:rPr>
          <w:rFonts w:ascii="Bookman Old Style" w:hAnsi="Bookman Old Style" w:cs="Arial"/>
        </w:rPr>
      </w:pPr>
    </w:p>
    <w:p w14:paraId="10784822">
      <w:pPr>
        <w:tabs>
          <w:tab w:val="left" w:pos="1418"/>
          <w:tab w:val="left" w:pos="1701"/>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TUJUH</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Keputusan ini mulai berlaku sejak tanggal ditetapkan, dengan ketentuan apabila di kemudian hari terdapat kekeliruan dalam Keputusan ini akan diubah dan diperbaiki sebagaimana mestinya.</w:t>
      </w:r>
    </w:p>
    <w:p w14:paraId="0901B652">
      <w:pPr>
        <w:tabs>
          <w:tab w:val="left" w:pos="1985"/>
          <w:tab w:val="left" w:pos="2268"/>
        </w:tabs>
        <w:spacing w:after="0" w:line="240" w:lineRule="auto"/>
        <w:ind w:left="2268" w:hanging="2268"/>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pada tanggal,</w:t>
      </w:r>
      <w:r>
        <w:rPr>
          <w:rFonts w:hint="default" w:ascii="Bookman Old Style" w:hAnsi="Bookman Old Style" w:cs="Arial"/>
          <w:lang w:val="en-US"/>
        </w:rPr>
        <w:t xml:space="preserve"> 30 Juni</w:t>
      </w:r>
      <w:r>
        <w:rPr>
          <w:rFonts w:ascii="Bookman Old Style" w:hAnsi="Bookman Old Style" w:cs="Arial"/>
          <w:lang w:val="en-US"/>
        </w:rPr>
        <w:t xml:space="preserve">  202</w:t>
      </w:r>
      <w:r>
        <w:rPr>
          <w:rFonts w:hint="default" w:ascii="Bookman Old Style" w:hAnsi="Bookman Old Style" w:cs="Arial"/>
          <w:lang w:val="en-US"/>
        </w:rPr>
        <w:t>5</w:t>
      </w:r>
      <w:r>
        <w:rPr>
          <w:rFonts w:ascii="Bookman Old Style" w:hAnsi="Bookman Old Style" w:cs="Arial"/>
        </w:rPr>
        <w:t xml:space="preserve">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818560E">
      <w:pPr>
        <w:tabs>
          <w:tab w:val="left" w:pos="1985"/>
          <w:tab w:val="left" w:pos="2268"/>
          <w:tab w:val="left" w:pos="5245"/>
        </w:tabs>
        <w:spacing w:after="0" w:line="240" w:lineRule="auto"/>
        <w:ind w:left="2835"/>
        <w:jc w:val="both"/>
        <w:rPr>
          <w:rFonts w:ascii="Bookman Old Style" w:hAnsi="Bookman Old Style" w:cs="Arial"/>
        </w:rPr>
      </w:pPr>
    </w:p>
    <w:p w14:paraId="7CBA5431">
      <w:pPr>
        <w:tabs>
          <w:tab w:val="left" w:pos="1985"/>
          <w:tab w:val="left" w:pos="2268"/>
          <w:tab w:val="left" w:pos="5245"/>
        </w:tabs>
        <w:spacing w:after="0" w:line="240" w:lineRule="auto"/>
        <w:ind w:left="2835"/>
        <w:jc w:val="both"/>
        <w:rPr>
          <w:rFonts w:ascii="Bookman Old Style" w:hAnsi="Bookman Old Style" w:cs="Arial"/>
        </w:rPr>
      </w:pPr>
    </w:p>
    <w:p w14:paraId="25F024C3">
      <w:pPr>
        <w:tabs>
          <w:tab w:val="left" w:pos="1985"/>
          <w:tab w:val="left" w:pos="2268"/>
          <w:tab w:val="left" w:pos="5245"/>
        </w:tabs>
        <w:spacing w:after="0" w:line="240" w:lineRule="auto"/>
        <w:ind w:left="3828"/>
        <w:jc w:val="both"/>
        <w:rPr>
          <w:rFonts w:hint="default" w:ascii="Bookman Old Style" w:hAnsi="Bookman Old Style"/>
          <w:b w:val="0"/>
          <w:bCs/>
          <w:sz w:val="20"/>
          <w:szCs w:val="20"/>
          <w:lang w:val="en-US"/>
        </w:rPr>
      </w:pPr>
      <w:r>
        <w:rPr>
          <w:rFonts w:hint="default" w:ascii="Bookman Old Style" w:hAnsi="Bookman Old Style"/>
          <w:b w:val="0"/>
          <w:bCs/>
          <w:sz w:val="20"/>
          <w:szCs w:val="20"/>
          <w:lang w:val="en-US"/>
        </w:rPr>
        <w:t>Dr. ABD HAKIM, M.H.I.</w:t>
      </w:r>
    </w:p>
    <w:p w14:paraId="4A5F2EB5">
      <w:pPr>
        <w:tabs>
          <w:tab w:val="left" w:pos="1985"/>
          <w:tab w:val="left" w:pos="2268"/>
          <w:tab w:val="left" w:pos="5245"/>
        </w:tabs>
        <w:spacing w:after="0" w:line="240" w:lineRule="auto"/>
        <w:ind w:left="3828"/>
        <w:jc w:val="both"/>
        <w:rPr>
          <w:rFonts w:hint="default" w:ascii="Bookman Old Style" w:hAnsi="Bookman Old Style" w:cs="Arial"/>
          <w:b/>
          <w:sz w:val="20"/>
          <w:szCs w:val="20"/>
          <w:lang w:val="en-US"/>
        </w:rPr>
      </w:pPr>
      <w:r>
        <w:rPr>
          <w:rFonts w:hint="default" w:ascii="Bookman Old Style" w:hAnsi="Bookman Old Style"/>
          <w:b w:val="0"/>
          <w:bCs/>
          <w:sz w:val="20"/>
          <w:szCs w:val="20"/>
          <w:lang w:val="en-US"/>
        </w:rPr>
        <w:t>NIP. 196108311987031003</w:t>
      </w:r>
    </w:p>
    <w:p w14:paraId="4EB0B088">
      <w:pPr>
        <w:tabs>
          <w:tab w:val="left" w:pos="1985"/>
          <w:tab w:val="left" w:pos="2268"/>
        </w:tabs>
        <w:spacing w:after="0" w:line="240" w:lineRule="auto"/>
        <w:ind w:left="2268" w:hanging="2268"/>
        <w:jc w:val="both"/>
        <w:rPr>
          <w:rFonts w:ascii="Bookman Old Style" w:hAnsi="Bookman Old Style" w:cs="Arial"/>
          <w:lang w:val="en-US"/>
        </w:rPr>
      </w:pPr>
    </w:p>
    <w:p w14:paraId="55703A45">
      <w:pPr>
        <w:tabs>
          <w:tab w:val="left" w:pos="1985"/>
          <w:tab w:val="left" w:pos="2268"/>
        </w:tabs>
        <w:spacing w:after="0" w:line="240" w:lineRule="auto"/>
        <w:ind w:left="2268" w:hanging="2268"/>
        <w:jc w:val="both"/>
        <w:rPr>
          <w:rFonts w:ascii="Bookman Old Style" w:hAnsi="Bookman Old Style" w:cs="Arial"/>
          <w:lang w:val="en-US"/>
        </w:rPr>
      </w:pPr>
    </w:p>
    <w:p w14:paraId="0A4ABA3A">
      <w:pPr>
        <w:tabs>
          <w:tab w:val="left" w:pos="1985"/>
          <w:tab w:val="left" w:pos="2268"/>
        </w:tabs>
        <w:spacing w:after="0" w:line="240" w:lineRule="auto"/>
        <w:ind w:left="2268" w:hanging="2268"/>
        <w:jc w:val="both"/>
        <w:rPr>
          <w:rFonts w:ascii="Bookman Old Style" w:hAnsi="Bookman Old Style" w:cs="Arial"/>
        </w:rPr>
      </w:pPr>
      <w:r>
        <w:rPr>
          <w:rFonts w:ascii="Bookman Old Style" w:hAnsi="Bookman Old Style" w:cs="Arial"/>
        </w:rPr>
        <w:t>SALINAN Keputusan ini disampaikan kepada:</w:t>
      </w:r>
    </w:p>
    <w:p w14:paraId="6FD6FE56">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YM. Ketua Mahkamah Agung RI;</w:t>
      </w:r>
    </w:p>
    <w:p w14:paraId="25E81D15">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YM. Wakil Ketua Mahkamah Agung RI Bidang Yudisial;</w:t>
      </w:r>
    </w:p>
    <w:p w14:paraId="54B08193">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YM. Ketua Kamar  Agama Mahkamah Agung RI;</w:t>
      </w:r>
    </w:p>
    <w:p w14:paraId="1267C12B">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Panitera Mahkamah Agung RI;</w:t>
      </w:r>
    </w:p>
    <w:p w14:paraId="316A3D27">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 xml:space="preserve">Direktur Jenderal Badan Peradilan Agama Mahkamah Agung RI; </w:t>
      </w:r>
    </w:p>
    <w:p w14:paraId="53B8D34A">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 xml:space="preserve">Yang bersangkutan untuk diketahui dan dilaksanakan sebagaimana mestinya. </w:t>
      </w:r>
    </w:p>
    <w:sectPr>
      <w:headerReference r:id="rId5" w:type="default"/>
      <w:pgSz w:w="12240" w:h="20160"/>
      <w:pgMar w:top="850" w:right="1134" w:bottom="2835" w:left="1701" w:header="720" w:footer="720"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103294"/>
    </w:sdtPr>
    <w:sdtContent>
      <w:p w14:paraId="0CC9210C">
        <w:pPr>
          <w:pStyle w:val="6"/>
          <w:jc w:val="center"/>
        </w:pPr>
      </w:p>
    </w:sdtContent>
  </w:sdt>
  <w:p w14:paraId="1B058348">
    <w:pPr>
      <w:pStyle w:val="6"/>
      <w:jc w:val="center"/>
      <w:rPr>
        <w:rFonts w:ascii="Bookman Old Style" w:hAnsi="Bookman Old Style"/>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A3065"/>
    <w:multiLevelType w:val="multilevel"/>
    <w:tmpl w:val="20CA3065"/>
    <w:lvl w:ilvl="0" w:tentative="0">
      <w:start w:val="1"/>
      <w:numFmt w:val="decimal"/>
      <w:lvlText w:val="%1."/>
      <w:lvlJc w:val="left"/>
      <w:pPr>
        <w:ind w:left="2625" w:hanging="360"/>
      </w:pPr>
      <w:rPr>
        <w:rFonts w:hint="default"/>
      </w:rPr>
    </w:lvl>
    <w:lvl w:ilvl="1" w:tentative="0">
      <w:start w:val="1"/>
      <w:numFmt w:val="lowerLetter"/>
      <w:lvlText w:val="%2."/>
      <w:lvlJc w:val="left"/>
      <w:pPr>
        <w:ind w:left="3345" w:hanging="360"/>
      </w:pPr>
    </w:lvl>
    <w:lvl w:ilvl="2" w:tentative="0">
      <w:start w:val="1"/>
      <w:numFmt w:val="lowerRoman"/>
      <w:lvlText w:val="%3."/>
      <w:lvlJc w:val="right"/>
      <w:pPr>
        <w:ind w:left="4065" w:hanging="180"/>
      </w:pPr>
    </w:lvl>
    <w:lvl w:ilvl="3" w:tentative="0">
      <w:start w:val="1"/>
      <w:numFmt w:val="decimal"/>
      <w:lvlText w:val="%4."/>
      <w:lvlJc w:val="left"/>
      <w:pPr>
        <w:ind w:left="4785" w:hanging="360"/>
      </w:pPr>
    </w:lvl>
    <w:lvl w:ilvl="4" w:tentative="0">
      <w:start w:val="1"/>
      <w:numFmt w:val="lowerLetter"/>
      <w:lvlText w:val="%5."/>
      <w:lvlJc w:val="left"/>
      <w:pPr>
        <w:ind w:left="5505" w:hanging="360"/>
      </w:pPr>
    </w:lvl>
    <w:lvl w:ilvl="5" w:tentative="0">
      <w:start w:val="1"/>
      <w:numFmt w:val="lowerRoman"/>
      <w:lvlText w:val="%6."/>
      <w:lvlJc w:val="right"/>
      <w:pPr>
        <w:ind w:left="6225" w:hanging="180"/>
      </w:pPr>
    </w:lvl>
    <w:lvl w:ilvl="6" w:tentative="0">
      <w:start w:val="1"/>
      <w:numFmt w:val="decimal"/>
      <w:lvlText w:val="%7."/>
      <w:lvlJc w:val="left"/>
      <w:pPr>
        <w:ind w:left="6945" w:hanging="360"/>
      </w:pPr>
    </w:lvl>
    <w:lvl w:ilvl="7" w:tentative="0">
      <w:start w:val="1"/>
      <w:numFmt w:val="lowerLetter"/>
      <w:lvlText w:val="%8."/>
      <w:lvlJc w:val="left"/>
      <w:pPr>
        <w:ind w:left="7665" w:hanging="360"/>
      </w:pPr>
    </w:lvl>
    <w:lvl w:ilvl="8" w:tentative="0">
      <w:start w:val="1"/>
      <w:numFmt w:val="lowerRoman"/>
      <w:lvlText w:val="%9."/>
      <w:lvlJc w:val="right"/>
      <w:pPr>
        <w:ind w:left="83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B3918"/>
    <w:rsid w:val="0001644E"/>
    <w:rsid w:val="00016822"/>
    <w:rsid w:val="0008436E"/>
    <w:rsid w:val="000847A9"/>
    <w:rsid w:val="00097638"/>
    <w:rsid w:val="00100A5C"/>
    <w:rsid w:val="00114B16"/>
    <w:rsid w:val="00153872"/>
    <w:rsid w:val="0015411B"/>
    <w:rsid w:val="0016763A"/>
    <w:rsid w:val="00215FC6"/>
    <w:rsid w:val="0023358D"/>
    <w:rsid w:val="00240847"/>
    <w:rsid w:val="00241CD5"/>
    <w:rsid w:val="00253C31"/>
    <w:rsid w:val="0025414C"/>
    <w:rsid w:val="00263F37"/>
    <w:rsid w:val="00290BAF"/>
    <w:rsid w:val="002B3918"/>
    <w:rsid w:val="002B4F85"/>
    <w:rsid w:val="002E7604"/>
    <w:rsid w:val="002F52F7"/>
    <w:rsid w:val="002F7D49"/>
    <w:rsid w:val="00303CC6"/>
    <w:rsid w:val="00311EC7"/>
    <w:rsid w:val="00315B9A"/>
    <w:rsid w:val="003650D4"/>
    <w:rsid w:val="003749F7"/>
    <w:rsid w:val="00384480"/>
    <w:rsid w:val="00384496"/>
    <w:rsid w:val="003A113F"/>
    <w:rsid w:val="003A4DE7"/>
    <w:rsid w:val="003B335A"/>
    <w:rsid w:val="003C3D81"/>
    <w:rsid w:val="003D65CD"/>
    <w:rsid w:val="003E0775"/>
    <w:rsid w:val="003F12F6"/>
    <w:rsid w:val="00421F37"/>
    <w:rsid w:val="004238C9"/>
    <w:rsid w:val="0042408C"/>
    <w:rsid w:val="00434A39"/>
    <w:rsid w:val="00434CCF"/>
    <w:rsid w:val="0044078F"/>
    <w:rsid w:val="004454FB"/>
    <w:rsid w:val="004A2ABD"/>
    <w:rsid w:val="004B4D29"/>
    <w:rsid w:val="004D46E4"/>
    <w:rsid w:val="004E2342"/>
    <w:rsid w:val="00504920"/>
    <w:rsid w:val="00514F23"/>
    <w:rsid w:val="00525FB0"/>
    <w:rsid w:val="005636A6"/>
    <w:rsid w:val="00572313"/>
    <w:rsid w:val="00594D96"/>
    <w:rsid w:val="005A3EC7"/>
    <w:rsid w:val="005D1440"/>
    <w:rsid w:val="005E39E9"/>
    <w:rsid w:val="005E43F7"/>
    <w:rsid w:val="005F2B8F"/>
    <w:rsid w:val="005F59F6"/>
    <w:rsid w:val="00613290"/>
    <w:rsid w:val="00624602"/>
    <w:rsid w:val="00652A70"/>
    <w:rsid w:val="00691A6E"/>
    <w:rsid w:val="00696078"/>
    <w:rsid w:val="006A001B"/>
    <w:rsid w:val="006A30EC"/>
    <w:rsid w:val="006C2652"/>
    <w:rsid w:val="006D3301"/>
    <w:rsid w:val="006D68BF"/>
    <w:rsid w:val="006E68F5"/>
    <w:rsid w:val="007070A8"/>
    <w:rsid w:val="00711B24"/>
    <w:rsid w:val="00712C5B"/>
    <w:rsid w:val="00713D82"/>
    <w:rsid w:val="0072578B"/>
    <w:rsid w:val="0073129D"/>
    <w:rsid w:val="0074267C"/>
    <w:rsid w:val="007741B6"/>
    <w:rsid w:val="00774BE6"/>
    <w:rsid w:val="007A1524"/>
    <w:rsid w:val="007B7E23"/>
    <w:rsid w:val="007D26FB"/>
    <w:rsid w:val="007E5544"/>
    <w:rsid w:val="007F05B1"/>
    <w:rsid w:val="007F1FE2"/>
    <w:rsid w:val="00804279"/>
    <w:rsid w:val="00833F6D"/>
    <w:rsid w:val="00840B58"/>
    <w:rsid w:val="008809FB"/>
    <w:rsid w:val="00886E27"/>
    <w:rsid w:val="008A3FFC"/>
    <w:rsid w:val="008F6A5D"/>
    <w:rsid w:val="009054DD"/>
    <w:rsid w:val="009068F2"/>
    <w:rsid w:val="009263D5"/>
    <w:rsid w:val="009600C4"/>
    <w:rsid w:val="0098487C"/>
    <w:rsid w:val="009C35B5"/>
    <w:rsid w:val="009E0C89"/>
    <w:rsid w:val="009E1A49"/>
    <w:rsid w:val="009E7E18"/>
    <w:rsid w:val="00A159B1"/>
    <w:rsid w:val="00A252EC"/>
    <w:rsid w:val="00A2706E"/>
    <w:rsid w:val="00A83C43"/>
    <w:rsid w:val="00AA2A89"/>
    <w:rsid w:val="00AA3E6D"/>
    <w:rsid w:val="00AC4218"/>
    <w:rsid w:val="00B17CE4"/>
    <w:rsid w:val="00B21C85"/>
    <w:rsid w:val="00B53004"/>
    <w:rsid w:val="00B54AB8"/>
    <w:rsid w:val="00B6043B"/>
    <w:rsid w:val="00BE0B20"/>
    <w:rsid w:val="00BE5D83"/>
    <w:rsid w:val="00C42D0E"/>
    <w:rsid w:val="00C50C5A"/>
    <w:rsid w:val="00C6715B"/>
    <w:rsid w:val="00C73D56"/>
    <w:rsid w:val="00C811A1"/>
    <w:rsid w:val="00C86C18"/>
    <w:rsid w:val="00D16685"/>
    <w:rsid w:val="00D236D1"/>
    <w:rsid w:val="00D2576B"/>
    <w:rsid w:val="00D71E2A"/>
    <w:rsid w:val="00D81BC6"/>
    <w:rsid w:val="00D913F6"/>
    <w:rsid w:val="00D92799"/>
    <w:rsid w:val="00DA29F8"/>
    <w:rsid w:val="00DF6033"/>
    <w:rsid w:val="00DF7601"/>
    <w:rsid w:val="00E064BA"/>
    <w:rsid w:val="00E110F5"/>
    <w:rsid w:val="00E24A75"/>
    <w:rsid w:val="00E26B48"/>
    <w:rsid w:val="00E30D14"/>
    <w:rsid w:val="00E32A79"/>
    <w:rsid w:val="00E52B4D"/>
    <w:rsid w:val="00E67CF3"/>
    <w:rsid w:val="00EB4800"/>
    <w:rsid w:val="00EF6800"/>
    <w:rsid w:val="00EF713A"/>
    <w:rsid w:val="00F931AC"/>
    <w:rsid w:val="00FB5F7B"/>
    <w:rsid w:val="00FC1685"/>
    <w:rsid w:val="00FC4607"/>
    <w:rsid w:val="01194D36"/>
    <w:rsid w:val="027E7A4A"/>
    <w:rsid w:val="06B52621"/>
    <w:rsid w:val="15B976E1"/>
    <w:rsid w:val="168F54E0"/>
    <w:rsid w:val="1AD25FED"/>
    <w:rsid w:val="1B6662A8"/>
    <w:rsid w:val="20424C0E"/>
    <w:rsid w:val="24CA440D"/>
    <w:rsid w:val="26FE70FC"/>
    <w:rsid w:val="30494A71"/>
    <w:rsid w:val="37163077"/>
    <w:rsid w:val="386D6CE9"/>
    <w:rsid w:val="39BE5F94"/>
    <w:rsid w:val="3AA93CB8"/>
    <w:rsid w:val="3C8171EC"/>
    <w:rsid w:val="456A732F"/>
    <w:rsid w:val="4FFF3D68"/>
    <w:rsid w:val="50420261"/>
    <w:rsid w:val="575A0657"/>
    <w:rsid w:val="582A0B3F"/>
    <w:rsid w:val="65C629B4"/>
    <w:rsid w:val="70F71D85"/>
    <w:rsid w:val="73BA4C01"/>
    <w:rsid w:val="741D44F0"/>
    <w:rsid w:val="75237193"/>
    <w:rsid w:val="7A054042"/>
    <w:rsid w:val="7BEF131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styleId="6">
    <w:name w:val="header"/>
    <w:basedOn w:val="1"/>
    <w:link w:val="8"/>
    <w:unhideWhenUsed/>
    <w:qFormat/>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2"/>
    <w:link w:val="6"/>
    <w:qFormat/>
    <w:uiPriority w:val="99"/>
    <w:rPr>
      <w:lang w:val="id-ID"/>
    </w:rPr>
  </w:style>
  <w:style w:type="character" w:customStyle="1" w:styleId="9">
    <w:name w:val="Balloon Text Char"/>
    <w:basedOn w:val="2"/>
    <w:link w:val="4"/>
    <w:semiHidden/>
    <w:qFormat/>
    <w:uiPriority w:val="99"/>
    <w:rPr>
      <w:rFonts w:ascii="Segoe UI" w:hAnsi="Segoe UI" w:cs="Segoe UI"/>
      <w:sz w:val="18"/>
      <w:szCs w:val="18"/>
      <w:lang w:val="id-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B0E72-2A88-4506-9A84-EC6C01AC553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583</Words>
  <Characters>3329</Characters>
  <Lines>27</Lines>
  <Paragraphs>7</Paragraphs>
  <TotalTime>4</TotalTime>
  <ScaleCrop>false</ScaleCrop>
  <LinksUpToDate>false</LinksUpToDate>
  <CharactersWithSpaces>3905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2018-07-12T06:39:00Z</dcterms:created>
  <dc:creator>Rencana_Program_Anggaran</dc:creator>
  <cp:lastModifiedBy>Fitria Irma Ramadhani</cp:lastModifiedBy>
  <cp:lastPrinted>2025-06-30T06:34:00Z</cp:lastPrinted>
  <dcterms:modified xsi:type="dcterms:W3CDTF">2025-07-17T09:59:16Z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C36A5718F55642EBB69BB7E2E7C0AF60</vt:lpwstr>
  </property>
</Properties>
</file>