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427C1E7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2EA9D309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4411DA4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7BEEF59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19504CA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68CCA76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98FEA1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483BCC0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0C05E504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17C4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F43DDB">
        <w:rPr>
          <w:rFonts w:ascii="Bookman Old Style" w:hAnsi="Bookman Old Style"/>
          <w:sz w:val="22"/>
          <w:szCs w:val="22"/>
        </w:rPr>
        <w:t xml:space="preserve">untuk </w:t>
      </w:r>
      <w:r w:rsidR="003473D8">
        <w:rPr>
          <w:rFonts w:ascii="Bookman Old Style" w:hAnsi="Bookman Old Style"/>
          <w:sz w:val="22"/>
          <w:szCs w:val="22"/>
        </w:rPr>
        <w:t>meningkatkan kualitas pelayanan public dalan pelaksanaan tugas dan fungsi peradilan</w:t>
      </w:r>
      <w:r w:rsidR="00113DA1">
        <w:rPr>
          <w:rFonts w:ascii="Bookman Old Style" w:hAnsi="Bookman Old Style"/>
          <w:sz w:val="22"/>
          <w:szCs w:val="22"/>
          <w:lang w:val="en-ID"/>
        </w:rPr>
        <w:t xml:space="preserve">, Pengadilan Tinggi Agama Padang akan menyelenggaran kegiatan </w:t>
      </w:r>
      <w:r w:rsidR="003473D8">
        <w:rPr>
          <w:rFonts w:ascii="Bookman Old Style" w:hAnsi="Bookman Old Style"/>
          <w:sz w:val="22"/>
          <w:szCs w:val="22"/>
          <w:lang w:val="en-ID"/>
        </w:rPr>
        <w:t>Diskusi Hukum 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 Pengadilan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r w:rsidR="00F43DDB">
        <w:rPr>
          <w:rFonts w:ascii="Bookman Old Style" w:hAnsi="Bookman Old Style"/>
          <w:sz w:val="22"/>
          <w:szCs w:val="22"/>
        </w:rPr>
        <w:t xml:space="preserve">dipandang perlu menugaskan panitia </w:t>
      </w:r>
      <w:r w:rsidR="003473D8">
        <w:rPr>
          <w:rFonts w:ascii="Bookman Old Style" w:hAnsi="Bookman Old Style"/>
          <w:sz w:val="22"/>
          <w:szCs w:val="22"/>
        </w:rPr>
        <w:t xml:space="preserve">pelaksana </w:t>
      </w:r>
      <w:r w:rsidR="00F43DDB">
        <w:rPr>
          <w:rFonts w:ascii="Bookman Old Style" w:hAnsi="Bookman Old Style"/>
          <w:sz w:val="22"/>
          <w:szCs w:val="22"/>
        </w:rPr>
        <w:t>kegiatan tersebut;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Ketua Pengadilan Tinggi Padang </w:t>
      </w:r>
      <w:r w:rsidR="00C77152">
        <w:rPr>
          <w:rFonts w:ascii="Bookman Old Style" w:hAnsi="Bookman Old Style"/>
          <w:sz w:val="22"/>
          <w:szCs w:val="22"/>
        </w:rPr>
        <w:t xml:space="preserve">Nomor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r w:rsidR="00C77152">
        <w:rPr>
          <w:rFonts w:ascii="Bookman Old Style" w:hAnsi="Bookman Old Style"/>
          <w:sz w:val="22"/>
          <w:szCs w:val="22"/>
        </w:rPr>
        <w:t xml:space="preserve">tanggal </w:t>
      </w:r>
      <w:r w:rsidR="003473D8">
        <w:rPr>
          <w:rFonts w:ascii="Bookman Old Style" w:hAnsi="Bookman Old Style"/>
          <w:sz w:val="22"/>
          <w:szCs w:val="22"/>
        </w:rPr>
        <w:t>9 Juni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>tentang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>Pelaksana Kegiatan Diskusi Hukum Dilingkungan Pengadilan Tinggi Agama Padang Tahun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 w:rsidR="00201DAE">
        <w:rPr>
          <w:rFonts w:ascii="Bookman Old Style" w:hAnsi="Bookman Old Style"/>
          <w:sz w:val="22"/>
          <w:szCs w:val="22"/>
        </w:rPr>
        <w:tab/>
        <w:t>Padang Nomor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5C6D4BE4" w14:textId="77777777" w:rsidR="008767C6" w:rsidRPr="008767C6" w:rsidRDefault="00142D5C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9024C5">
        <w:rPr>
          <w:rFonts w:ascii="Bookman Old Style" w:hAnsi="Bookman Old Style"/>
          <w:sz w:val="22"/>
          <w:szCs w:val="22"/>
        </w:rPr>
        <w:t xml:space="preserve">Kepada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</w:r>
      <w:bookmarkStart w:id="0" w:name="_Hlk97901759"/>
      <w:r w:rsidR="008767C6" w:rsidRPr="008767C6">
        <w:rPr>
          <w:rFonts w:ascii="Bookman Old Style" w:hAnsi="Bookman Old Style"/>
          <w:sz w:val="22"/>
          <w:szCs w:val="22"/>
          <w:lang w:val="id-ID"/>
        </w:rPr>
        <w:t>1.</w:t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8767C6" w:rsidRPr="008767C6">
        <w:rPr>
          <w:rFonts w:ascii="Bookman Old Style" w:hAnsi="Bookman Old Style"/>
          <w:noProof/>
          <w:sz w:val="22"/>
          <w:szCs w:val="22"/>
          <w:lang w:val="id-ID"/>
        </w:rPr>
        <w:t>Nurasiyah Handayani Rangkuti, S.H.</w:t>
      </w:r>
      <w:r w:rsidR="008767C6"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8054790" w14:textId="77777777" w:rsidR="008767C6" w:rsidRPr="008767C6" w:rsidRDefault="008767C6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198102212011012007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D974212" w14:textId="77777777" w:rsidR="008767C6" w:rsidRPr="008767C6" w:rsidRDefault="008767C6" w:rsidP="008767C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8767C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8767C6">
        <w:rPr>
          <w:rFonts w:ascii="Bookman Old Style" w:hAnsi="Bookman Old Style"/>
          <w:sz w:val="22"/>
          <w:szCs w:val="22"/>
          <w:lang w:val="en-ID"/>
        </w:rPr>
        <w:t>)</w:t>
      </w:r>
    </w:p>
    <w:p w14:paraId="1ECE6F74" w14:textId="52C8747B" w:rsidR="008767C6" w:rsidRPr="008767C6" w:rsidRDefault="008767C6" w:rsidP="008767C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7D76E3">
        <w:rPr>
          <w:rFonts w:ascii="Bookman Old Style" w:hAnsi="Bookman Old Style"/>
          <w:spacing w:val="-4"/>
          <w:sz w:val="22"/>
          <w:szCs w:val="22"/>
          <w:lang w:val="id-ID"/>
        </w:rPr>
        <w:fldChar w:fldCharType="begin"/>
      </w:r>
      <w:r w:rsidRPr="007D76E3">
        <w:rPr>
          <w:rFonts w:ascii="Bookman Old Style" w:hAnsi="Bookman Old Style"/>
          <w:spacing w:val="-4"/>
          <w:sz w:val="22"/>
          <w:szCs w:val="22"/>
          <w:lang w:val="id-ID"/>
        </w:rPr>
        <w:instrText xml:space="preserve"> MERGEFIELD Jabatan </w:instrText>
      </w:r>
      <w:r w:rsidRPr="007D76E3">
        <w:rPr>
          <w:rFonts w:ascii="Bookman Old Style" w:hAnsi="Bookman Old Style"/>
          <w:spacing w:val="-4"/>
          <w:sz w:val="22"/>
          <w:szCs w:val="22"/>
          <w:lang w:val="id-ID"/>
        </w:rPr>
        <w:fldChar w:fldCharType="separate"/>
      </w:r>
      <w:r w:rsidRPr="007D76E3">
        <w:rPr>
          <w:rFonts w:ascii="Bookman Old Style" w:hAnsi="Bookman Old Style"/>
          <w:noProof/>
          <w:spacing w:val="-4"/>
          <w:sz w:val="22"/>
          <w:szCs w:val="22"/>
          <w:lang w:val="id-ID"/>
        </w:rPr>
        <w:t xml:space="preserve">Kepala </w:t>
      </w:r>
      <w:r w:rsidR="007D76E3" w:rsidRPr="007D76E3">
        <w:rPr>
          <w:rFonts w:ascii="Bookman Old Style" w:hAnsi="Bookman Old Style"/>
          <w:noProof/>
          <w:spacing w:val="-4"/>
          <w:sz w:val="22"/>
          <w:szCs w:val="22"/>
        </w:rPr>
        <w:t xml:space="preserve">Subbagian </w:t>
      </w:r>
      <w:r w:rsidRPr="007D76E3">
        <w:rPr>
          <w:rFonts w:ascii="Bookman Old Style" w:hAnsi="Bookman Old Style"/>
          <w:noProof/>
          <w:spacing w:val="-4"/>
          <w:sz w:val="22"/>
          <w:szCs w:val="22"/>
          <w:lang w:val="id-ID"/>
        </w:rPr>
        <w:t xml:space="preserve">Tata Usaha </w:t>
      </w:r>
      <w:r w:rsidR="007D76E3" w:rsidRPr="007D76E3">
        <w:rPr>
          <w:rFonts w:ascii="Bookman Old Style" w:hAnsi="Bookman Old Style"/>
          <w:noProof/>
          <w:spacing w:val="-4"/>
          <w:sz w:val="22"/>
          <w:szCs w:val="22"/>
        </w:rPr>
        <w:t>d</w:t>
      </w:r>
      <w:r w:rsidRPr="007D76E3">
        <w:rPr>
          <w:rFonts w:ascii="Bookman Old Style" w:hAnsi="Bookman Old Style"/>
          <w:noProof/>
          <w:spacing w:val="-4"/>
          <w:sz w:val="22"/>
          <w:szCs w:val="22"/>
          <w:lang w:val="id-ID"/>
        </w:rPr>
        <w:t>an Rumah Tangga</w:t>
      </w:r>
      <w:r w:rsidRPr="007D76E3">
        <w:rPr>
          <w:rFonts w:ascii="Bookman Old Style" w:hAnsi="Bookman Old Style"/>
          <w:spacing w:val="-4"/>
          <w:sz w:val="22"/>
          <w:szCs w:val="22"/>
          <w:lang w:val="id-ID"/>
        </w:rPr>
        <w:fldChar w:fldCharType="end"/>
      </w:r>
    </w:p>
    <w:p w14:paraId="7096707B" w14:textId="77777777" w:rsidR="008767C6" w:rsidRPr="008767C6" w:rsidRDefault="008767C6" w:rsidP="008767C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5666197D" w14:textId="77777777" w:rsidR="008767C6" w:rsidRPr="008767C6" w:rsidRDefault="008767C6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</w:rPr>
        <w:t>2</w:t>
      </w:r>
      <w:r w:rsidRPr="008767C6">
        <w:rPr>
          <w:rFonts w:ascii="Bookman Old Style" w:hAnsi="Bookman Old Style"/>
          <w:sz w:val="22"/>
          <w:szCs w:val="22"/>
          <w:lang w:val="id-ID"/>
        </w:rPr>
        <w:t>.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Fitrya Rafani, S.Kom.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5ECC586" w14:textId="77777777" w:rsidR="008767C6" w:rsidRPr="008767C6" w:rsidRDefault="008767C6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198905022015032002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7627BDA" w14:textId="77777777" w:rsidR="008767C6" w:rsidRPr="008767C6" w:rsidRDefault="008767C6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8767C6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8767C6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8767C6">
        <w:rPr>
          <w:rFonts w:ascii="Bookman Old Style" w:hAnsi="Bookman Old Style"/>
          <w:sz w:val="22"/>
          <w:szCs w:val="22"/>
          <w:lang w:val="en-ID"/>
        </w:rPr>
        <w:t>)</w:t>
      </w:r>
    </w:p>
    <w:p w14:paraId="68360953" w14:textId="48035723" w:rsidR="008767C6" w:rsidRDefault="008767C6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767C6">
        <w:rPr>
          <w:rFonts w:ascii="Bookman Old Style" w:hAnsi="Bookman Old Style"/>
          <w:sz w:val="22"/>
          <w:szCs w:val="22"/>
          <w:lang w:val="id-ID"/>
        </w:rPr>
        <w:tab/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8767C6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8767C6">
        <w:rPr>
          <w:rFonts w:ascii="Bookman Old Style" w:hAnsi="Bookman Old Style"/>
          <w:noProof/>
          <w:sz w:val="22"/>
          <w:szCs w:val="22"/>
          <w:lang w:val="id-ID"/>
        </w:rPr>
        <w:t>Bendahara Tingkat Banding</w:t>
      </w:r>
      <w:r w:rsidRPr="008767C6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332BF3E" w14:textId="0CDF8C16" w:rsidR="00517C45" w:rsidRPr="00517C45" w:rsidRDefault="00517C45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7A8A68D" w14:textId="77777777" w:rsidR="00517C45" w:rsidRPr="00517C45" w:rsidRDefault="00517C45" w:rsidP="00517C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 w:rsidRPr="00517C45">
        <w:rPr>
          <w:rFonts w:ascii="Bookman Old Style" w:hAnsi="Bookman Old Style"/>
          <w:sz w:val="22"/>
          <w:szCs w:val="22"/>
          <w:lang w:val="id-ID"/>
        </w:rPr>
        <w:t>Nama</w:t>
      </w:r>
      <w:r w:rsidRPr="00517C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17C45">
        <w:rPr>
          <w:rFonts w:ascii="Bookman Old Style" w:hAnsi="Bookman Old Style"/>
          <w:sz w:val="22"/>
          <w:szCs w:val="22"/>
          <w:lang w:val="id-ID"/>
        </w:rPr>
        <w:tab/>
        <w:t>Doni Windra</w:t>
      </w:r>
    </w:p>
    <w:p w14:paraId="1C0A5760" w14:textId="77777777" w:rsidR="00517C45" w:rsidRPr="00517C45" w:rsidRDefault="00517C45" w:rsidP="00517C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517C45">
        <w:rPr>
          <w:rFonts w:ascii="Bookman Old Style" w:hAnsi="Bookman Old Style"/>
          <w:sz w:val="22"/>
          <w:szCs w:val="22"/>
          <w:lang w:val="id-ID"/>
        </w:rPr>
        <w:tab/>
      </w:r>
      <w:r w:rsidRPr="00517C45">
        <w:rPr>
          <w:rFonts w:ascii="Bookman Old Style" w:hAnsi="Bookman Old Style"/>
          <w:sz w:val="22"/>
          <w:szCs w:val="22"/>
          <w:lang w:val="id-ID"/>
        </w:rPr>
        <w:tab/>
      </w:r>
      <w:r w:rsidRPr="00517C4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517C4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17C45">
        <w:rPr>
          <w:rFonts w:ascii="Bookman Old Style" w:hAnsi="Bookman Old Style"/>
          <w:sz w:val="22"/>
          <w:szCs w:val="22"/>
          <w:lang w:val="id-ID"/>
        </w:rPr>
        <w:tab/>
      </w:r>
      <w:r w:rsidRPr="00517C45">
        <w:rPr>
          <w:rFonts w:ascii="Bookman Old Style" w:hAnsi="Bookman Old Style"/>
          <w:sz w:val="22"/>
          <w:szCs w:val="22"/>
          <w:lang w:val="en-ID"/>
        </w:rPr>
        <w:t>PPNPN</w:t>
      </w:r>
    </w:p>
    <w:p w14:paraId="770DE44E" w14:textId="53C6C3EF" w:rsidR="00517C45" w:rsidRPr="00517C45" w:rsidRDefault="00517C45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C2E349" w14:textId="6C8D23BB" w:rsidR="00665FF7" w:rsidRPr="00BA71F7" w:rsidRDefault="00665FF7" w:rsidP="008767C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7D540642" w14:textId="6C8AE51E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Untuk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1D9A850D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9024C5">
        <w:rPr>
          <w:rFonts w:ascii="Bookman Old Style" w:hAnsi="Bookman Old Style"/>
          <w:sz w:val="22"/>
          <w:szCs w:val="22"/>
        </w:rPr>
        <w:t xml:space="preserve">sebagai panitia </w:t>
      </w:r>
      <w:r w:rsidR="00BC74B8">
        <w:rPr>
          <w:rFonts w:ascii="Bookman Old Style" w:hAnsi="Bookman Old Style"/>
          <w:sz w:val="22"/>
          <w:szCs w:val="22"/>
        </w:rPr>
        <w:t xml:space="preserve">kegiatan </w:t>
      </w:r>
      <w:r w:rsidR="004817CC">
        <w:rPr>
          <w:rFonts w:ascii="Bookman Old Style" w:hAnsi="Bookman Old Style"/>
          <w:sz w:val="22"/>
          <w:szCs w:val="22"/>
          <w:lang w:val="en-ID"/>
        </w:rPr>
        <w:t>Diskusi Hukum Dilingkungan Pengadilan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</w:rPr>
        <w:t>tanggal</w:t>
      </w:r>
      <w:r w:rsidR="004817CC">
        <w:rPr>
          <w:rFonts w:ascii="Bookman Old Style" w:hAnsi="Bookman Old Style"/>
          <w:sz w:val="22"/>
          <w:szCs w:val="22"/>
        </w:rPr>
        <w:t xml:space="preserve"> 21 Juni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r w:rsidR="004817CC">
        <w:rPr>
          <w:rFonts w:ascii="Bookman Old Style" w:hAnsi="Bookman Old Style"/>
          <w:sz w:val="22"/>
          <w:szCs w:val="22"/>
        </w:rPr>
        <w:t>Emersia Hotel dan Resort Batusangkar</w:t>
      </w:r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r w:rsidR="004817CC">
        <w:rPr>
          <w:rFonts w:ascii="Bookman Old Style" w:hAnsi="Bookman Old Style"/>
          <w:sz w:val="22"/>
          <w:szCs w:val="22"/>
        </w:rPr>
        <w:t>Hamka No.41 Jorong Baringin, Kecamatan Lima Kaum Kabupaten Tanah Datar</w:t>
      </w:r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2DD5AB80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Kedua </w:t>
      </w:r>
      <w:r>
        <w:rPr>
          <w:rFonts w:ascii="Bookman Old Style" w:hAnsi="Bookman Old Style"/>
          <w:sz w:val="22"/>
          <w:szCs w:val="22"/>
        </w:rPr>
        <w:tab/>
        <w:t>:  segala biaya yang timbul untuk pelaksanaan tugas ini dibebankan pada DIPA Pengadilan Tinggi Agama Padang Tahun Anggaran 202</w:t>
      </w:r>
      <w:r w:rsidR="001900C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12D978A0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7185F0F5" w:rsidR="00647ECD" w:rsidRPr="009956BD" w:rsidRDefault="009357A9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10"/>
          <w:szCs w:val="10"/>
        </w:rPr>
        <w:drawing>
          <wp:anchor distT="0" distB="0" distL="114300" distR="114300" simplePos="0" relativeHeight="251662848" behindDoc="0" locked="0" layoutInCell="1" allowOverlap="1" wp14:anchorId="25D4C5BD" wp14:editId="11241102">
            <wp:simplePos x="0" y="0"/>
            <wp:positionH relativeFrom="column">
              <wp:posOffset>3127375</wp:posOffset>
            </wp:positionH>
            <wp:positionV relativeFrom="paragraph">
              <wp:posOffset>8255</wp:posOffset>
            </wp:positionV>
            <wp:extent cx="1454150" cy="142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7C6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1</w:t>
      </w:r>
      <w:r w:rsidR="008767C6">
        <w:rPr>
          <w:rFonts w:ascii="Bookman Old Style" w:hAnsi="Bookman Old Style"/>
          <w:sz w:val="22"/>
          <w:szCs w:val="22"/>
        </w:rPr>
        <w:t xml:space="preserve"> Juni </w:t>
      </w:r>
      <w:r w:rsidR="004817CC">
        <w:rPr>
          <w:rFonts w:ascii="Bookman Old Style" w:hAnsi="Bookman Old Style"/>
          <w:sz w:val="22"/>
          <w:szCs w:val="22"/>
        </w:rPr>
        <w:t>2022</w:t>
      </w:r>
    </w:p>
    <w:p w14:paraId="0A36AD86" w14:textId="720CD64B" w:rsidR="00647ECD" w:rsidRPr="003242C7" w:rsidRDefault="008767C6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D0A3938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AC3DEA6" w:rsidR="00647ECD" w:rsidRPr="009956BD" w:rsidRDefault="008767C6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1CD4" w14:textId="77777777" w:rsidR="00140D0F" w:rsidRDefault="00140D0F" w:rsidP="00396C8E">
      <w:r>
        <w:separator/>
      </w:r>
    </w:p>
  </w:endnote>
  <w:endnote w:type="continuationSeparator" w:id="0">
    <w:p w14:paraId="6475F3A4" w14:textId="77777777" w:rsidR="00140D0F" w:rsidRDefault="00140D0F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79B8" w14:textId="77777777" w:rsidR="00140D0F" w:rsidRDefault="00140D0F" w:rsidP="00396C8E">
      <w:r>
        <w:separator/>
      </w:r>
    </w:p>
  </w:footnote>
  <w:footnote w:type="continuationSeparator" w:id="0">
    <w:p w14:paraId="31B3C7BB" w14:textId="77777777" w:rsidR="00140D0F" w:rsidRDefault="00140D0F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17E4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0D0F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0C4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E31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406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61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17C45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D76E3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67C6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7A9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537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13F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1781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9</cp:revision>
  <cp:lastPrinted>2022-06-15T04:08:00Z</cp:lastPrinted>
  <dcterms:created xsi:type="dcterms:W3CDTF">2022-06-15T03:33:00Z</dcterms:created>
  <dcterms:modified xsi:type="dcterms:W3CDTF">2022-06-21T01:06:00Z</dcterms:modified>
</cp:coreProperties>
</file>