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VII/2023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Selasa tanggal 04 bulan Juli tahun 2023 telah dilakukan verifikasi pengajuan pembayaran tunjangan kinerja bulan Juli tahun anggaran 2023 dan Biaya Transportasi Hakim bulan Juni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Juli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7 0800401900 NO. 20B5-7DF6-AB85-B38C</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