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19643E74" w14:textId="77777777" w:rsidR="007418AF" w:rsidRDefault="007418AF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1F743088" w14:textId="77777777" w:rsidR="007418AF" w:rsidRPr="00FF6877" w:rsidRDefault="007418AF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C375D03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7A40B7">
        <w:rPr>
          <w:rFonts w:ascii="Bookman Old Style" w:hAnsi="Bookman Old Style"/>
          <w:bCs/>
        </w:rPr>
        <w:t xml:space="preserve">        </w:t>
      </w:r>
      <w:r w:rsidR="005F5B7F" w:rsidRPr="005F5B7F">
        <w:rPr>
          <w:rFonts w:ascii="Bookman Old Style" w:hAnsi="Bookman Old Style"/>
          <w:bCs/>
        </w:rPr>
        <w:t>/KPTA.W3-A/DL1.10/</w:t>
      </w:r>
      <w:r w:rsidR="007A40B7">
        <w:rPr>
          <w:rFonts w:ascii="Bookman Old Style" w:hAnsi="Bookman Old Style"/>
          <w:bCs/>
        </w:rPr>
        <w:t>V</w:t>
      </w:r>
      <w:r w:rsidR="007418AF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/2024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77777777" w:rsidR="00D70B9F" w:rsidRPr="005661E1" w:rsidRDefault="00D70B9F" w:rsidP="00D70B9F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5661E1">
        <w:rPr>
          <w:rFonts w:ascii="Bookman Old Style" w:hAnsi="Bookman Old Style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tentang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dengan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pejabat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5661E1">
        <w:rPr>
          <w:rFonts w:ascii="Bookman Old Style" w:hAnsi="Bookman Old Style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Agung RI;</w:t>
      </w:r>
    </w:p>
    <w:p w14:paraId="5FAADE61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5843E391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(UU)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Nomor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Tahun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2009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tentang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Perubahan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Kedua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atas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Nomor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Tahun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tentang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418AF" w:rsidRPr="007418AF">
        <w:rPr>
          <w:rFonts w:ascii="Bookman Old Style" w:hAnsi="Bookman Old Style"/>
          <w:sz w:val="21"/>
          <w:szCs w:val="21"/>
        </w:rPr>
        <w:t>Peradilan</w:t>
      </w:r>
      <w:proofErr w:type="spellEnd"/>
      <w:r w:rsidR="007418AF" w:rsidRPr="007418AF">
        <w:rPr>
          <w:rFonts w:ascii="Bookman Old Style" w:hAnsi="Bookman Old Style"/>
          <w:sz w:val="21"/>
          <w:szCs w:val="21"/>
        </w:rPr>
        <w:t xml:space="preserve"> Agama</w:t>
      </w:r>
      <w:r w:rsidR="007418AF">
        <w:rPr>
          <w:rFonts w:ascii="Bookman Old Style" w:hAnsi="Bookman Old Style"/>
          <w:sz w:val="21"/>
          <w:szCs w:val="21"/>
        </w:rPr>
        <w:t>;</w:t>
      </w:r>
    </w:p>
    <w:p w14:paraId="06885DCB" w14:textId="77777777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D70B9F">
      <w:pPr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0732F27D" w14:textId="5569AB8F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7A40B7" w:rsidRPr="007A40B7">
        <w:rPr>
          <w:rFonts w:ascii="Bookman Old Style" w:hAnsi="Bookman Old Style"/>
          <w:sz w:val="21"/>
          <w:szCs w:val="21"/>
        </w:rPr>
        <w:t xml:space="preserve">Dra. </w:t>
      </w:r>
      <w:proofErr w:type="spellStart"/>
      <w:r w:rsidR="007A40B7" w:rsidRPr="007A40B7">
        <w:rPr>
          <w:rFonts w:ascii="Bookman Old Style" w:hAnsi="Bookman Old Style"/>
          <w:sz w:val="21"/>
          <w:szCs w:val="21"/>
        </w:rPr>
        <w:t>Hj</w:t>
      </w:r>
      <w:proofErr w:type="spellEnd"/>
      <w:r w:rsidR="007A40B7" w:rsidRPr="007A40B7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="007A40B7" w:rsidRPr="007A40B7">
        <w:rPr>
          <w:rFonts w:ascii="Bookman Old Style" w:hAnsi="Bookman Old Style"/>
          <w:sz w:val="21"/>
          <w:szCs w:val="21"/>
        </w:rPr>
        <w:t>Rosliani</w:t>
      </w:r>
      <w:proofErr w:type="spellEnd"/>
      <w:r w:rsidR="007A40B7" w:rsidRPr="007A40B7">
        <w:rPr>
          <w:rFonts w:ascii="Bookman Old Style" w:hAnsi="Bookman Old Style"/>
          <w:sz w:val="21"/>
          <w:szCs w:val="21"/>
        </w:rPr>
        <w:t xml:space="preserve">, S.H., M.A., NIP. 196310081989032003, Pembina Utama (IV/e), Wakil </w:t>
      </w:r>
      <w:proofErr w:type="spellStart"/>
      <w:r w:rsidR="007A40B7" w:rsidRPr="007A40B7">
        <w:rPr>
          <w:rFonts w:ascii="Bookman Old Style" w:hAnsi="Bookman Old Style"/>
          <w:sz w:val="21"/>
          <w:szCs w:val="21"/>
        </w:rPr>
        <w:t>Ketua</w:t>
      </w:r>
      <w:proofErr w:type="spellEnd"/>
      <w:r w:rsidR="007418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418AF">
        <w:rPr>
          <w:rFonts w:ascii="Bookman Old Style" w:hAnsi="Bookman Old Style"/>
          <w:sz w:val="21"/>
          <w:szCs w:val="21"/>
        </w:rPr>
        <w:t>Pengadilan</w:t>
      </w:r>
      <w:proofErr w:type="spellEnd"/>
      <w:r w:rsidR="007418AF">
        <w:rPr>
          <w:rFonts w:ascii="Bookman Old Style" w:hAnsi="Bookman Old Style"/>
          <w:sz w:val="21"/>
          <w:szCs w:val="21"/>
        </w:rPr>
        <w:t xml:space="preserve"> Tinggi Agama Padang</w:t>
      </w:r>
      <w:r w:rsidR="007A40B7">
        <w:rPr>
          <w:rFonts w:ascii="Bookman Old Style" w:hAnsi="Bookman Old Style"/>
          <w:sz w:val="21"/>
          <w:szCs w:val="21"/>
        </w:rPr>
        <w:t>;</w:t>
      </w:r>
    </w:p>
    <w:p w14:paraId="7460AE10" w14:textId="6E405700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1"/>
          <w:szCs w:val="21"/>
        </w:rPr>
      </w:pPr>
    </w:p>
    <w:p w14:paraId="47680265" w14:textId="6DE8E043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Tinggi Agama Padang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Direktorat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Jenderal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Peradilan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Agama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7418AF">
        <w:rPr>
          <w:rFonts w:ascii="Bookman Old Style" w:hAnsi="Bookman Old Style"/>
          <w:spacing w:val="2"/>
          <w:sz w:val="21"/>
          <w:szCs w:val="21"/>
        </w:rPr>
        <w:t>12</w:t>
      </w:r>
      <w:r w:rsidR="00D440B0"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440B0" w:rsidRPr="005661E1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D440B0"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7418AF">
        <w:rPr>
          <w:rFonts w:ascii="Bookman Old Style" w:hAnsi="Bookman Old Style"/>
          <w:spacing w:val="2"/>
          <w:sz w:val="21"/>
          <w:szCs w:val="21"/>
        </w:rPr>
        <w:t>14 Juni</w:t>
      </w:r>
      <w:r w:rsidR="007A40B7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D440B0" w:rsidRPr="005661E1">
        <w:rPr>
          <w:rFonts w:ascii="Bookman Old Style" w:hAnsi="Bookman Old Style"/>
          <w:spacing w:val="2"/>
          <w:sz w:val="21"/>
          <w:szCs w:val="21"/>
        </w:rPr>
        <w:t>2024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Gedung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Sekretariat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Agung RI, Jalan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. A. Yani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Kav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>. 58, Jakarta Pusat;</w:t>
      </w:r>
    </w:p>
    <w:p w14:paraId="4633A002" w14:textId="77777777" w:rsidR="00BA724A" w:rsidRPr="005661E1" w:rsidRDefault="00BA724A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5661E1" w:rsidRDefault="00CE5A2B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5661E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E638FFB" w14:textId="5190D4D4" w:rsidR="00422CD3" w:rsidRPr="005661E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6D09F4C" w14:textId="296F994B" w:rsidR="00A9495E" w:rsidRPr="005661E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</w:rPr>
        <w:t xml:space="preserve">    </w:t>
      </w:r>
      <w:r w:rsidR="007418AF">
        <w:rPr>
          <w:rFonts w:ascii="Bookman Old Style" w:hAnsi="Bookman Old Style"/>
          <w:sz w:val="21"/>
          <w:szCs w:val="21"/>
        </w:rPr>
        <w:t>12 Juni</w:t>
      </w:r>
      <w:r w:rsidR="00BA724A" w:rsidRPr="005661E1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5C3C6B5F" w:rsidR="00422CD3" w:rsidRPr="005661E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</w:rPr>
        <w:tab/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5661E1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5661E1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5661E1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5661E1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4FE2F286" w:rsidR="00422CD3" w:rsidRPr="005661E1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5661E1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5661E1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BA724A" w:rsidRPr="005661E1">
        <w:rPr>
          <w:rFonts w:ascii="Bookman Old Style" w:hAnsi="Bookman Old Style"/>
          <w:sz w:val="21"/>
          <w:szCs w:val="21"/>
          <w:lang w:val="id-ID"/>
        </w:rPr>
        <w:t>Abd. Hamid Pulungan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8FFC1D6" w14:textId="77777777" w:rsidR="007418AF" w:rsidRPr="005661E1" w:rsidRDefault="007418AF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1A311D1C" w:rsidR="00FF6877" w:rsidRPr="005661E1" w:rsidRDefault="007A40B7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</w:t>
      </w:r>
      <w:proofErr w:type="spellStart"/>
      <w:r>
        <w:rPr>
          <w:rFonts w:ascii="Bookman Old Style" w:hAnsi="Bookman Old Style"/>
          <w:sz w:val="21"/>
          <w:szCs w:val="21"/>
        </w:rPr>
        <w:t>Direktur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Jenderal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RI;</w:t>
      </w:r>
    </w:p>
    <w:sectPr w:rsidR="00FF6877" w:rsidRPr="005661E1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418AF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1BDD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2024-02-15T05:41:00Z</cp:lastPrinted>
  <dcterms:created xsi:type="dcterms:W3CDTF">2024-06-12T01:30:00Z</dcterms:created>
  <dcterms:modified xsi:type="dcterms:W3CDTF">2024-06-12T01:30:00Z</dcterms:modified>
</cp:coreProperties>
</file>