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39582B2D">
                <wp:simplePos x="0" y="0"/>
                <wp:positionH relativeFrom="margin">
                  <wp:posOffset>19381</wp:posOffset>
                </wp:positionH>
                <wp:positionV relativeFrom="paragraph">
                  <wp:posOffset>33792</wp:posOffset>
                </wp:positionV>
                <wp:extent cx="6098651" cy="26974"/>
                <wp:effectExtent l="0" t="0" r="35560" b="3048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8651" cy="269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D1383EB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55pt,2.65pt" to="48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ED05E56" w:rsidR="00EB7EA3" w:rsidRDefault="005D1FF8" w:rsidP="008824E1">
      <w:pPr>
        <w:tabs>
          <w:tab w:val="left" w:pos="1148"/>
          <w:tab w:val="left" w:pos="1344"/>
          <w:tab w:val="right" w:pos="10065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B32409">
        <w:rPr>
          <w:rFonts w:ascii="Arial" w:hAnsi="Arial" w:cs="Arial"/>
          <w:sz w:val="22"/>
          <w:szCs w:val="22"/>
        </w:rPr>
        <w:t xml:space="preserve">          </w:t>
      </w:r>
      <w:r w:rsidR="00D3244F" w:rsidRPr="00D3244F">
        <w:rPr>
          <w:rFonts w:ascii="Arial" w:hAnsi="Arial" w:cs="Arial"/>
          <w:sz w:val="22"/>
          <w:szCs w:val="22"/>
        </w:rPr>
        <w:t>/KPTA.W3-A/</w:t>
      </w:r>
      <w:r w:rsidR="00B32409">
        <w:rPr>
          <w:rFonts w:ascii="Arial" w:hAnsi="Arial" w:cs="Arial"/>
          <w:sz w:val="22"/>
          <w:szCs w:val="22"/>
        </w:rPr>
        <w:t>KP8.1</w:t>
      </w:r>
      <w:r w:rsidR="00D3244F" w:rsidRPr="00D3244F">
        <w:rPr>
          <w:rFonts w:ascii="Arial" w:hAnsi="Arial" w:cs="Arial"/>
          <w:sz w:val="22"/>
          <w:szCs w:val="22"/>
        </w:rPr>
        <w:t>/V</w:t>
      </w:r>
      <w:r w:rsidR="00B32409">
        <w:rPr>
          <w:rFonts w:ascii="Arial" w:hAnsi="Arial" w:cs="Arial"/>
          <w:sz w:val="22"/>
          <w:szCs w:val="22"/>
        </w:rPr>
        <w:t>I</w:t>
      </w:r>
      <w:r w:rsidR="00D3244F" w:rsidRPr="00D3244F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ab/>
      </w:r>
      <w:r w:rsidR="00B32409">
        <w:rPr>
          <w:rFonts w:ascii="Arial" w:hAnsi="Arial" w:cs="Arial"/>
          <w:sz w:val="22"/>
          <w:szCs w:val="22"/>
        </w:rPr>
        <w:t>Juni</w:t>
      </w:r>
      <w:r w:rsidR="00500EB8">
        <w:rPr>
          <w:rFonts w:ascii="Arial" w:hAnsi="Arial" w:cs="Arial"/>
          <w:sz w:val="22"/>
          <w:szCs w:val="22"/>
        </w:rPr>
        <w:t xml:space="preserve"> 2024</w:t>
      </w:r>
    </w:p>
    <w:p w14:paraId="786C9598" w14:textId="7FF715E5" w:rsidR="00EB7EA3" w:rsidRDefault="005D1FF8" w:rsidP="008824E1">
      <w:pPr>
        <w:tabs>
          <w:tab w:val="left" w:pos="1148"/>
          <w:tab w:val="left" w:pos="1330"/>
        </w:tabs>
        <w:spacing w:line="26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28612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57112387" w:rsidR="00EB7EA3" w:rsidRDefault="005D1FF8" w:rsidP="008824E1">
      <w:pPr>
        <w:tabs>
          <w:tab w:val="left" w:pos="1148"/>
          <w:tab w:val="left" w:pos="1330"/>
        </w:tabs>
        <w:spacing w:line="26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B32409">
        <w:rPr>
          <w:rFonts w:ascii="Arial" w:hAnsi="Arial" w:cs="Arial"/>
          <w:sz w:val="22"/>
          <w:szCs w:val="22"/>
          <w:lang w:val="en-AU"/>
        </w:rPr>
        <w:t>-</w:t>
      </w:r>
    </w:p>
    <w:p w14:paraId="79E7E4A5" w14:textId="62CA0125" w:rsidR="00A75EE8" w:rsidRPr="009438D4" w:rsidRDefault="005D1FF8" w:rsidP="008824E1">
      <w:pPr>
        <w:tabs>
          <w:tab w:val="left" w:pos="1134"/>
          <w:tab w:val="left" w:pos="1330"/>
        </w:tabs>
        <w:spacing w:line="260" w:lineRule="exact"/>
        <w:rPr>
          <w:rFonts w:ascii="Arial" w:hAnsi="Arial" w:cs="Arial"/>
          <w:i/>
          <w:iCs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B32409">
        <w:rPr>
          <w:rFonts w:ascii="Arial" w:hAnsi="Arial" w:cs="Arial"/>
          <w:spacing w:val="-2"/>
          <w:sz w:val="22"/>
          <w:szCs w:val="22"/>
        </w:rPr>
        <w:t>Penilaian Implementasi Budaya Kerja</w:t>
      </w:r>
    </w:p>
    <w:p w14:paraId="07866DF1" w14:textId="77777777" w:rsidR="005D1FF8" w:rsidRDefault="00B01370" w:rsidP="008824E1">
      <w:pPr>
        <w:tabs>
          <w:tab w:val="left" w:pos="1134"/>
          <w:tab w:val="left" w:pos="1330"/>
        </w:tabs>
        <w:spacing w:line="26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3BF3D5E8" w14:textId="795A3124" w:rsidR="0009560D" w:rsidRDefault="005D1FF8" w:rsidP="008824E1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7F4779B4" w14:textId="3729E52C" w:rsidR="00B32409" w:rsidRDefault="00B32409" w:rsidP="008824E1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Tinggi, Pejabat Struktural dan Fungsional,</w:t>
      </w:r>
    </w:p>
    <w:p w14:paraId="5D49A6B8" w14:textId="525982EE" w:rsidR="00B32409" w:rsidRPr="00B32409" w:rsidRDefault="00ED19F5" w:rsidP="008824E1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Pelaksana</w:t>
      </w:r>
      <w:r w:rsidR="00B32409">
        <w:rPr>
          <w:rFonts w:ascii="Arial" w:hAnsi="Arial" w:cs="Arial"/>
          <w:sz w:val="22"/>
          <w:szCs w:val="22"/>
        </w:rPr>
        <w:t xml:space="preserve"> Pengadilan Tinggi Agama Padang</w:t>
      </w:r>
    </w:p>
    <w:p w14:paraId="52D1CBDE" w14:textId="77777777" w:rsidR="00CB5031" w:rsidRDefault="00CB5031" w:rsidP="008824E1">
      <w:pPr>
        <w:spacing w:line="260" w:lineRule="exact"/>
        <w:rPr>
          <w:rFonts w:ascii="Arial" w:hAnsi="Arial" w:cs="Arial"/>
          <w:sz w:val="22"/>
          <w:szCs w:val="22"/>
        </w:rPr>
      </w:pPr>
    </w:p>
    <w:p w14:paraId="377DA191" w14:textId="77777777" w:rsidR="005D1FF8" w:rsidRDefault="005D1FF8" w:rsidP="008824E1">
      <w:pPr>
        <w:spacing w:line="26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 w:rsidP="008824E1">
      <w:pPr>
        <w:spacing w:line="26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 w:rsidP="008824E1">
      <w:pPr>
        <w:spacing w:line="260" w:lineRule="exact"/>
        <w:rPr>
          <w:rFonts w:ascii="Arial" w:hAnsi="Arial" w:cs="Arial"/>
          <w:sz w:val="14"/>
          <w:szCs w:val="14"/>
        </w:rPr>
      </w:pPr>
    </w:p>
    <w:p w14:paraId="410D5F82" w14:textId="378DBB67" w:rsidR="00B32409" w:rsidRDefault="00D04373" w:rsidP="008824E1">
      <w:pPr>
        <w:spacing w:line="260" w:lineRule="exac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</w:t>
      </w:r>
      <w:r w:rsidR="00B32409">
        <w:rPr>
          <w:rFonts w:ascii="Arial" w:hAnsi="Arial" w:cs="Arial"/>
          <w:sz w:val="22"/>
          <w:szCs w:val="22"/>
        </w:rPr>
        <w:t>Surat Keputusan Ketua Pengadilan Tinggi Agama Padang nomor 919/KPTA.W3-A/KP8.1/II/2024 tentang Penunjukan Tim Penilai Implementasi Budaya Kerja Pada Pengadilan Tinggi Agama Padang, dengan ini disampaikan:</w:t>
      </w:r>
    </w:p>
    <w:p w14:paraId="535B2680" w14:textId="587FCD99" w:rsidR="00B32409" w:rsidRDefault="00B32409" w:rsidP="008824E1">
      <w:pPr>
        <w:pStyle w:val="ListParagraph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Penilaian Implementasi Budaya Kerja Pengadilan Tinggi Agama Padang dilaksanakan melalui 3 (tiga) tahapan, yaitu:</w:t>
      </w:r>
    </w:p>
    <w:p w14:paraId="39FF4D02" w14:textId="69C87DF6" w:rsidR="00B32409" w:rsidRDefault="00B32409" w:rsidP="008824E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Tahap pertama, pengumpulan usul nama aparatur yang memiliki implementasi budaya kerja terbaik pada Pengadilan Tinggi Agama Padang</w:t>
      </w:r>
      <w:r w:rsidR="00283B26">
        <w:rPr>
          <w:rFonts w:ascii="Arial" w:hAnsi="Arial" w:cs="Arial"/>
          <w:sz w:val="22"/>
          <w:szCs w:val="22"/>
        </w:rPr>
        <w:t xml:space="preserve"> oleh seluruh aparatur Pengadilan Tinggi Agama Padang</w:t>
      </w:r>
      <w:r>
        <w:rPr>
          <w:rFonts w:ascii="Arial" w:hAnsi="Arial" w:cs="Arial"/>
          <w:sz w:val="22"/>
          <w:szCs w:val="22"/>
        </w:rPr>
        <w:t>;</w:t>
      </w:r>
    </w:p>
    <w:p w14:paraId="1FFD5774" w14:textId="36389A7B" w:rsidR="00B32409" w:rsidRDefault="00283B26" w:rsidP="008824E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Tahap kedua, penilaian implementasi budaya kerja terhadap 8 (delapan) aparatur yang terdiri dari 4 (empat) orang bagian kesekretariatan dan 4 (empat) orang bagian kepaniteraan yang terpilih dari tahap pertama</w:t>
      </w:r>
      <w:r w:rsidR="00C25371">
        <w:rPr>
          <w:rFonts w:ascii="Arial" w:hAnsi="Arial" w:cs="Arial"/>
          <w:sz w:val="22"/>
          <w:szCs w:val="22"/>
        </w:rPr>
        <w:t xml:space="preserve"> o</w:t>
      </w:r>
      <w:r w:rsidR="00C25371">
        <w:rPr>
          <w:rFonts w:ascii="Arial" w:hAnsi="Arial" w:cs="Arial"/>
          <w:sz w:val="22"/>
          <w:szCs w:val="22"/>
        </w:rPr>
        <w:t>leh seluruh aparatur Pengadilan Tinggi Agama Padang;</w:t>
      </w:r>
    </w:p>
    <w:p w14:paraId="229D2D84" w14:textId="72A9CD3D" w:rsidR="00283B26" w:rsidRDefault="00283B26" w:rsidP="008824E1">
      <w:pPr>
        <w:pStyle w:val="ListParagraph"/>
        <w:numPr>
          <w:ilvl w:val="0"/>
          <w:numId w:val="13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Tahap ketiga, perhitungan hasil penilaian implementasi budaya kerja yang dilaksanakan oleh Tim Penilai </w:t>
      </w:r>
      <w:r w:rsidR="00ED19F5">
        <w:rPr>
          <w:rFonts w:ascii="Arial" w:hAnsi="Arial" w:cs="Arial"/>
          <w:sz w:val="22"/>
          <w:szCs w:val="22"/>
        </w:rPr>
        <w:t>selanjutnya</w:t>
      </w:r>
      <w:r w:rsidR="004F3EC9">
        <w:rPr>
          <w:rFonts w:ascii="Arial" w:hAnsi="Arial" w:cs="Arial"/>
          <w:sz w:val="22"/>
          <w:szCs w:val="22"/>
        </w:rPr>
        <w:t xml:space="preserve"> diserahkan kepada Ketua Pengadilan Tinggi Agama Padang untuk ditetapkan</w:t>
      </w:r>
      <w:r w:rsidR="00635653">
        <w:rPr>
          <w:rFonts w:ascii="Arial" w:hAnsi="Arial" w:cs="Arial"/>
          <w:sz w:val="22"/>
          <w:szCs w:val="22"/>
        </w:rPr>
        <w:t xml:space="preserve"> aparatur </w:t>
      </w:r>
      <w:r w:rsidR="00635653">
        <w:rPr>
          <w:rFonts w:ascii="Arial" w:hAnsi="Arial" w:cs="Arial"/>
          <w:sz w:val="22"/>
          <w:szCs w:val="22"/>
        </w:rPr>
        <w:t>yang memiliki implementasi budaya kerja terbaik pada Pengadilan Tinggi Agama Padang</w:t>
      </w:r>
      <w:r w:rsidR="00635653">
        <w:rPr>
          <w:rFonts w:ascii="Arial" w:hAnsi="Arial" w:cs="Arial"/>
          <w:sz w:val="22"/>
          <w:szCs w:val="22"/>
        </w:rPr>
        <w:t>.</w:t>
      </w:r>
    </w:p>
    <w:p w14:paraId="75622B62" w14:textId="02C0350F" w:rsidR="0033613A" w:rsidRPr="00283B26" w:rsidRDefault="00635653" w:rsidP="00C25371">
      <w:pPr>
        <w:pStyle w:val="ListParagraph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pelaksanaan </w:t>
      </w:r>
      <w:r w:rsidR="00C25371">
        <w:rPr>
          <w:rFonts w:ascii="Arial" w:hAnsi="Arial" w:cs="Arial"/>
          <w:sz w:val="22"/>
          <w:szCs w:val="22"/>
        </w:rPr>
        <w:t xml:space="preserve">penilaian </w:t>
      </w:r>
      <w:r>
        <w:rPr>
          <w:rFonts w:ascii="Arial" w:hAnsi="Arial" w:cs="Arial"/>
          <w:sz w:val="22"/>
          <w:szCs w:val="22"/>
        </w:rPr>
        <w:t>tahap pertama sebagaimana pada angka 1.a., d</w:t>
      </w:r>
      <w:r w:rsidR="00283B26">
        <w:rPr>
          <w:rFonts w:ascii="Arial" w:hAnsi="Arial" w:cs="Arial"/>
          <w:sz w:val="22"/>
          <w:szCs w:val="22"/>
        </w:rPr>
        <w:t xml:space="preserve">iminta kepada saudara untuk mengirimkan usul nama aparatur yang </w:t>
      </w:r>
      <w:r w:rsidR="00283B26">
        <w:rPr>
          <w:rFonts w:ascii="Arial" w:hAnsi="Arial" w:cs="Arial"/>
          <w:sz w:val="22"/>
          <w:szCs w:val="22"/>
        </w:rPr>
        <w:t>memiliki implementasi budaya kerja terbaik pada Pengadilan Tinggi Agama Padang</w:t>
      </w:r>
      <w:r w:rsidR="00283B26">
        <w:rPr>
          <w:rFonts w:ascii="Arial" w:hAnsi="Arial" w:cs="Arial"/>
          <w:sz w:val="22"/>
          <w:szCs w:val="22"/>
        </w:rPr>
        <w:t xml:space="preserve"> maksimal </w:t>
      </w:r>
      <w:r w:rsidR="0033613A">
        <w:rPr>
          <w:rFonts w:ascii="Arial" w:hAnsi="Arial" w:cs="Arial"/>
          <w:sz w:val="22"/>
          <w:szCs w:val="22"/>
        </w:rPr>
        <w:t xml:space="preserve">4 (empat) orang bagian kepaniteraan dan maksimal 4 (empat) orang bagian kesekretariatan melalui tautan: </w:t>
      </w:r>
      <w:hyperlink r:id="rId7" w:history="1">
        <w:r w:rsidR="0033613A" w:rsidRPr="00BF3E41">
          <w:rPr>
            <w:rStyle w:val="Hyperlink"/>
            <w:rFonts w:ascii="Arial" w:hAnsi="Arial" w:cs="Arial"/>
            <w:sz w:val="22"/>
            <w:szCs w:val="22"/>
          </w:rPr>
          <w:t>https://s.id/ptabudayakerja2024</w:t>
        </w:r>
      </w:hyperlink>
      <w:r w:rsidR="00C25371">
        <w:rPr>
          <w:rFonts w:ascii="Arial" w:hAnsi="Arial" w:cs="Arial"/>
          <w:sz w:val="22"/>
          <w:szCs w:val="22"/>
        </w:rPr>
        <w:t xml:space="preserve"> dan</w:t>
      </w:r>
      <w:r w:rsidR="0033613A">
        <w:rPr>
          <w:rFonts w:ascii="Arial" w:hAnsi="Arial" w:cs="Arial"/>
          <w:sz w:val="22"/>
          <w:szCs w:val="22"/>
        </w:rPr>
        <w:t xml:space="preserve"> diterima paling lambat </w:t>
      </w:r>
      <w:r w:rsidR="008824E1">
        <w:rPr>
          <w:rFonts w:ascii="Arial" w:hAnsi="Arial" w:cs="Arial"/>
          <w:sz w:val="22"/>
          <w:szCs w:val="22"/>
        </w:rPr>
        <w:t>pada Hari Jum’at tanggal 14 Juni 2024 pukul 17.00 WIB.</w:t>
      </w:r>
    </w:p>
    <w:p w14:paraId="5A972DE1" w14:textId="77777777" w:rsidR="0009560D" w:rsidRPr="0009560D" w:rsidRDefault="0009560D" w:rsidP="008824E1">
      <w:pPr>
        <w:spacing w:line="260" w:lineRule="exact"/>
        <w:ind w:firstLine="720"/>
        <w:jc w:val="both"/>
        <w:rPr>
          <w:rFonts w:ascii="Arial" w:hAnsi="Arial" w:cs="Arial"/>
          <w:sz w:val="8"/>
          <w:szCs w:val="8"/>
        </w:rPr>
      </w:pPr>
    </w:p>
    <w:p w14:paraId="23099D5D" w14:textId="5FB73D60" w:rsidR="002C414C" w:rsidRPr="009438D4" w:rsidRDefault="002C414C" w:rsidP="008824E1">
      <w:pPr>
        <w:spacing w:line="260" w:lineRule="exact"/>
        <w:ind w:firstLine="720"/>
        <w:jc w:val="both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DF791B" w14:textId="56D2C2FE" w:rsidR="00EB7EA3" w:rsidRDefault="005D1FF8" w:rsidP="008824E1">
      <w:pPr>
        <w:spacing w:line="260" w:lineRule="exac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Demikian disampaikan</w:t>
      </w:r>
      <w:r w:rsidR="008D4EA2">
        <w:rPr>
          <w:rFonts w:ascii="Arial" w:hAnsi="Arial" w:cs="Arial"/>
          <w:sz w:val="22"/>
          <w:szCs w:val="22"/>
        </w:rPr>
        <w:t xml:space="preserve"> untuk dapat dilaksanakan dan</w:t>
      </w:r>
      <w:r>
        <w:rPr>
          <w:rFonts w:ascii="Arial" w:hAnsi="Arial" w:cs="Arial"/>
          <w:sz w:val="22"/>
          <w:szCs w:val="22"/>
        </w:rPr>
        <w:t xml:space="preserve"> terima kasih.</w:t>
      </w:r>
    </w:p>
    <w:p w14:paraId="3335D6E7" w14:textId="1CF5D9C2" w:rsidR="00EB7EA3" w:rsidRDefault="00EB7EA3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2C30401" w14:textId="77777777" w:rsidR="00500EB8" w:rsidRDefault="00500EB8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6DD624B8" w:rsidR="00EB7EA3" w:rsidRDefault="000B770B" w:rsidP="008824E1">
      <w:pPr>
        <w:spacing w:line="26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0AA101E4" w:rsidR="00EB7EA3" w:rsidRDefault="00251609" w:rsidP="00251609">
      <w:pPr>
        <w:spacing w:line="260" w:lineRule="exact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</w:r>
      <w:r>
        <w:rPr>
          <w:rFonts w:ascii="Arial" w:hAnsi="Arial" w:cs="Arial"/>
          <w:bCs/>
          <w:spacing w:val="-4"/>
          <w:sz w:val="22"/>
          <w:szCs w:val="22"/>
        </w:rPr>
        <w:tab/>
        <w:t xml:space="preserve">          Plt.</w:t>
      </w:r>
      <w:r w:rsidR="008824E1">
        <w:rPr>
          <w:rFonts w:ascii="Arial" w:hAnsi="Arial" w:cs="Arial"/>
          <w:bCs/>
          <w:spacing w:val="-4"/>
          <w:sz w:val="22"/>
          <w:szCs w:val="22"/>
        </w:rPr>
        <w:t xml:space="preserve"> </w:t>
      </w:r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77777777" w:rsidR="00EB7EA3" w:rsidRDefault="00EB7EA3" w:rsidP="008824E1">
      <w:pPr>
        <w:spacing w:line="260" w:lineRule="exact"/>
        <w:ind w:left="5954"/>
        <w:rPr>
          <w:rFonts w:ascii="Arial" w:hAnsi="Arial" w:cs="Arial"/>
          <w:bCs/>
          <w:spacing w:val="-4"/>
          <w:sz w:val="14"/>
          <w:szCs w:val="14"/>
          <w:lang w:val="id-ID"/>
        </w:rPr>
      </w:pPr>
    </w:p>
    <w:p w14:paraId="069A89C6" w14:textId="04CCADA5" w:rsidR="00EB7EA3" w:rsidRDefault="00EB7EA3" w:rsidP="008824E1">
      <w:pPr>
        <w:spacing w:line="260" w:lineRule="exact"/>
        <w:ind w:left="5963" w:right="1133"/>
        <w:rPr>
          <w:rFonts w:ascii="Bookman Old Style" w:hAnsi="Bookman Old Style"/>
          <w:sz w:val="22"/>
          <w:szCs w:val="22"/>
        </w:rPr>
      </w:pPr>
    </w:p>
    <w:p w14:paraId="71A4375C" w14:textId="73765EF8" w:rsidR="00EB7EA3" w:rsidRDefault="00EB7EA3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1F26444F" w14:textId="77777777" w:rsidR="005B799F" w:rsidRDefault="005B799F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 w:rsidP="008824E1">
      <w:pPr>
        <w:spacing w:line="260" w:lineRule="exact"/>
        <w:ind w:left="5387"/>
        <w:rPr>
          <w:rFonts w:ascii="Bookman Old Style" w:hAnsi="Bookman Old Style"/>
          <w:sz w:val="22"/>
          <w:szCs w:val="22"/>
        </w:rPr>
      </w:pPr>
    </w:p>
    <w:p w14:paraId="43ECBABC" w14:textId="52194612" w:rsidR="00EB7EA3" w:rsidRDefault="00251609" w:rsidP="008824E1">
      <w:pPr>
        <w:spacing w:line="26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Nurhafizal</w:t>
      </w:r>
    </w:p>
    <w:p w14:paraId="19C147F4" w14:textId="26F22AEB" w:rsidR="009438D4" w:rsidRDefault="009438D4" w:rsidP="008824E1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6D6FCCE0" w14:textId="77777777" w:rsidR="009438D4" w:rsidRDefault="009438D4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653397" w14:textId="59996976" w:rsidR="009438D4" w:rsidRPr="0009560D" w:rsidRDefault="009438D4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560D">
        <w:rPr>
          <w:rFonts w:ascii="Arial" w:hAnsi="Arial" w:cs="Arial"/>
          <w:sz w:val="20"/>
          <w:szCs w:val="20"/>
        </w:rPr>
        <w:t xml:space="preserve">Tembusan: </w:t>
      </w:r>
    </w:p>
    <w:p w14:paraId="197952F9" w14:textId="4D970162" w:rsidR="009438D4" w:rsidRPr="0009560D" w:rsidRDefault="008824E1" w:rsidP="008824E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Ketua Pengadilan Tinggi Agama Padang (sebagai laporan)</w:t>
      </w:r>
      <w:r w:rsidR="00BF4947">
        <w:rPr>
          <w:rFonts w:ascii="Arial" w:hAnsi="Arial" w:cs="Arial"/>
          <w:sz w:val="20"/>
          <w:szCs w:val="20"/>
        </w:rPr>
        <w:t>.</w:t>
      </w:r>
    </w:p>
    <w:sectPr w:rsidR="009438D4" w:rsidRPr="0009560D" w:rsidSect="005B799F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A7D07D2"/>
    <w:multiLevelType w:val="hybridMultilevel"/>
    <w:tmpl w:val="473E8670"/>
    <w:lvl w:ilvl="0" w:tplc="6FC43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1A7B71"/>
    <w:multiLevelType w:val="hybridMultilevel"/>
    <w:tmpl w:val="982E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E4D84"/>
    <w:multiLevelType w:val="hybridMultilevel"/>
    <w:tmpl w:val="1C2E5600"/>
    <w:lvl w:ilvl="0" w:tplc="4DD2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8629A"/>
    <w:rsid w:val="0009560D"/>
    <w:rsid w:val="000B770B"/>
    <w:rsid w:val="00162EC1"/>
    <w:rsid w:val="0019461A"/>
    <w:rsid w:val="00251609"/>
    <w:rsid w:val="00266056"/>
    <w:rsid w:val="00283B26"/>
    <w:rsid w:val="00286124"/>
    <w:rsid w:val="002C414C"/>
    <w:rsid w:val="002F098B"/>
    <w:rsid w:val="0033613A"/>
    <w:rsid w:val="003F13D4"/>
    <w:rsid w:val="00484974"/>
    <w:rsid w:val="004F3EC9"/>
    <w:rsid w:val="00500EB8"/>
    <w:rsid w:val="005A2CC3"/>
    <w:rsid w:val="005B799F"/>
    <w:rsid w:val="005D1FF8"/>
    <w:rsid w:val="00635653"/>
    <w:rsid w:val="008824E1"/>
    <w:rsid w:val="00897510"/>
    <w:rsid w:val="008D4EA2"/>
    <w:rsid w:val="009438D4"/>
    <w:rsid w:val="009A03E2"/>
    <w:rsid w:val="009A0A23"/>
    <w:rsid w:val="009F1B42"/>
    <w:rsid w:val="00A6058A"/>
    <w:rsid w:val="00A6177D"/>
    <w:rsid w:val="00A75EE8"/>
    <w:rsid w:val="00AB7FA1"/>
    <w:rsid w:val="00B01370"/>
    <w:rsid w:val="00B32409"/>
    <w:rsid w:val="00B421D9"/>
    <w:rsid w:val="00B73832"/>
    <w:rsid w:val="00BB1866"/>
    <w:rsid w:val="00BB37C9"/>
    <w:rsid w:val="00BF4947"/>
    <w:rsid w:val="00C25371"/>
    <w:rsid w:val="00C558CD"/>
    <w:rsid w:val="00C90671"/>
    <w:rsid w:val="00CB5031"/>
    <w:rsid w:val="00CF6F92"/>
    <w:rsid w:val="00D04373"/>
    <w:rsid w:val="00D3244F"/>
    <w:rsid w:val="00EB7EA3"/>
    <w:rsid w:val="00EC3385"/>
    <w:rsid w:val="00ED19F5"/>
    <w:rsid w:val="00F36144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.id/ptabudayakerja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5</cp:revision>
  <cp:lastPrinted>2024-06-13T02:05:00Z</cp:lastPrinted>
  <dcterms:created xsi:type="dcterms:W3CDTF">2024-05-29T09:34:00Z</dcterms:created>
  <dcterms:modified xsi:type="dcterms:W3CDTF">2024-06-13T04:16:00Z</dcterms:modified>
  <dc:language>en-US</dc:language>
</cp:coreProperties>
</file>