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25089C51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FB68F2">
        <w:rPr>
          <w:rFonts w:ascii="Bookman Old Style" w:hAnsi="Bookman Old Style"/>
          <w:bCs/>
        </w:rPr>
        <w:t>1924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118EC1F5" w:rsidR="009D5A83" w:rsidRDefault="00422CD3" w:rsidP="00320F9C">
      <w:pPr>
        <w:tabs>
          <w:tab w:val="left" w:pos="1498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320F9C">
        <w:rPr>
          <w:rFonts w:ascii="Bookman Old Style" w:hAnsi="Bookman Old Style"/>
          <w:sz w:val="22"/>
          <w:szCs w:val="22"/>
        </w:rPr>
        <w:t xml:space="preserve">a. </w:t>
      </w:r>
      <w:r w:rsidR="00320F9C">
        <w:rPr>
          <w:rFonts w:ascii="Bookman Old Style" w:hAnsi="Bookman Old Style"/>
          <w:sz w:val="22"/>
          <w:szCs w:val="22"/>
        </w:rPr>
        <w:tab/>
      </w:r>
      <w:r w:rsidR="000B334A" w:rsidRPr="00747D82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320F9C">
        <w:rPr>
          <w:rFonts w:ascii="Bookman Old Style" w:hAnsi="Bookman Old Style"/>
          <w:sz w:val="22"/>
          <w:szCs w:val="22"/>
          <w:lang w:val="id-ID"/>
        </w:rPr>
        <w:t>Direktorat Jenderal Badan Peradilan Agama Mahkamah Agung RI mengadakan Studi Kelayakan Peninjauan Pembentukan Pengadilan dan Peningkatan Kelas Pengadilan Agama di Wilayah Pengadilan Tinggi Agama Padang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08AAD071" w14:textId="7C4CECB0" w:rsidR="00320F9C" w:rsidRPr="00747D82" w:rsidRDefault="00320F9C" w:rsidP="00320F9C">
      <w:pPr>
        <w:tabs>
          <w:tab w:val="left" w:pos="1498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bahwa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guna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mendukung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kelancaran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pelaksanaan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tugas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tersebut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dipandang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perlu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menugaskan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Aparatur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pada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Tinggi Agama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sebagai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Pendamping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5B35E0" w14:textId="0B3E2C4E" w:rsidR="000B334A" w:rsidRPr="00747D82" w:rsidRDefault="008B6B3A" w:rsidP="00320F9C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0B334A" w:rsidRPr="00747D82">
        <w:rPr>
          <w:rFonts w:ascii="Bookman Old Style" w:hAnsi="Bookman Old Style"/>
          <w:sz w:val="22"/>
          <w:szCs w:val="22"/>
        </w:rPr>
        <w:t>1.</w:t>
      </w:r>
      <w:r w:rsidR="000B334A" w:rsidRPr="00747D82">
        <w:rPr>
          <w:rFonts w:ascii="Bookman Old Style" w:hAnsi="Bookman Old Style"/>
          <w:sz w:val="22"/>
          <w:szCs w:val="22"/>
        </w:rPr>
        <w:tab/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Surat </w:t>
      </w:r>
      <w:r w:rsidR="00320F9C">
        <w:rPr>
          <w:rFonts w:ascii="Bookman Old Style" w:hAnsi="Bookman Old Style"/>
          <w:sz w:val="22"/>
          <w:szCs w:val="22"/>
          <w:lang w:val="id-ID"/>
        </w:rPr>
        <w:t xml:space="preserve">Sekretaris Direktorat </w:t>
      </w:r>
      <w:r w:rsidR="00320F9C">
        <w:rPr>
          <w:rFonts w:ascii="Bookman Old Style" w:hAnsi="Bookman Old Style"/>
          <w:sz w:val="22"/>
          <w:szCs w:val="22"/>
          <w:lang w:val="id-ID"/>
        </w:rPr>
        <w:t>Jenderal Badan Peradilan Agama Mahkamah Agung RI</w:t>
      </w:r>
      <w:r w:rsidR="00320F9C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B334A">
        <w:rPr>
          <w:rFonts w:ascii="Bookman Old Style" w:hAnsi="Bookman Old Style"/>
          <w:sz w:val="22"/>
          <w:szCs w:val="22"/>
          <w:lang w:val="id-ID"/>
        </w:rPr>
        <w:t>nomor</w:t>
      </w:r>
      <w:r w:rsidR="00320F9C">
        <w:rPr>
          <w:rFonts w:ascii="Bookman Old Style" w:hAnsi="Bookman Old Style"/>
          <w:sz w:val="22"/>
          <w:szCs w:val="22"/>
          <w:lang w:val="id-ID"/>
        </w:rPr>
        <w:t xml:space="preserve"> 364/DJA.1/ST.OT.1/VI/2024</w:t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="00320F9C">
        <w:rPr>
          <w:rFonts w:ascii="Bookman Old Style" w:hAnsi="Bookman Old Style"/>
          <w:sz w:val="22"/>
          <w:szCs w:val="22"/>
          <w:lang w:val="id-ID"/>
        </w:rPr>
        <w:br/>
        <w:t>3</w:t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 Juni 2024 perihal </w:t>
      </w:r>
      <w:r w:rsidR="00320F9C">
        <w:rPr>
          <w:rFonts w:ascii="Bookman Old Style" w:hAnsi="Bookman Old Style"/>
          <w:sz w:val="22"/>
          <w:szCs w:val="22"/>
          <w:lang w:val="id-ID"/>
        </w:rPr>
        <w:t>Surat Tugas</w:t>
      </w:r>
      <w:r w:rsidR="000B334A" w:rsidRPr="00747D82">
        <w:rPr>
          <w:rFonts w:ascii="Bookman Old Style" w:hAnsi="Bookman Old Style"/>
          <w:sz w:val="22"/>
          <w:szCs w:val="22"/>
        </w:rPr>
        <w:t>;</w:t>
      </w:r>
    </w:p>
    <w:p w14:paraId="022ECF36" w14:textId="473D953E" w:rsidR="000B334A" w:rsidRPr="00747D82" w:rsidRDefault="000B334A" w:rsidP="00320F9C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320F9C"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320F9C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58CFEF68" w:rsidR="00E90404" w:rsidRPr="00747D82" w:rsidRDefault="00AE6012" w:rsidP="000B334A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5F3363C9" w:rsidR="00B37A31" w:rsidRPr="00C346AD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140AF3" w:rsidRPr="00140AF3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140AF3" w:rsidRPr="00140AF3">
        <w:rPr>
          <w:rFonts w:ascii="Bookman Old Style" w:hAnsi="Bookman Old Style"/>
          <w:sz w:val="22"/>
          <w:szCs w:val="22"/>
        </w:rPr>
        <w:t>Syafruddin</w:t>
      </w:r>
      <w:proofErr w:type="spellEnd"/>
      <w:r w:rsidR="00140AF3" w:rsidRPr="00140AF3">
        <w:rPr>
          <w:rFonts w:ascii="Bookman Old Style" w:hAnsi="Bookman Old Style"/>
          <w:sz w:val="22"/>
          <w:szCs w:val="22"/>
        </w:rPr>
        <w:t xml:space="preserve">, 196210141994031001, Pembina Utama Madya IV/d, </w:t>
      </w:r>
      <w:proofErr w:type="spellStart"/>
      <w:r w:rsidR="00140AF3" w:rsidRPr="00140AF3">
        <w:rPr>
          <w:rFonts w:ascii="Bookman Old Style" w:hAnsi="Bookman Old Style"/>
          <w:sz w:val="22"/>
          <w:szCs w:val="22"/>
        </w:rPr>
        <w:t>Panitera</w:t>
      </w:r>
      <w:proofErr w:type="spellEnd"/>
      <w:r w:rsidR="00140AF3">
        <w:rPr>
          <w:rFonts w:ascii="Bookman Old Style" w:hAnsi="Bookman Old Style"/>
          <w:sz w:val="22"/>
          <w:szCs w:val="22"/>
        </w:rPr>
        <w:t>.</w:t>
      </w:r>
    </w:p>
    <w:p w14:paraId="36FB685F" w14:textId="6BCEDEAF" w:rsidR="00C346AD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  <w:r w:rsidRPr="00C346AD">
        <w:rPr>
          <w:rFonts w:ascii="Bookman Old Style" w:hAnsi="Bookman Old Style"/>
          <w:sz w:val="22"/>
          <w:szCs w:val="22"/>
          <w:lang w:val="id-ID"/>
        </w:rPr>
        <w:tab/>
      </w:r>
      <w:r w:rsidRPr="00C346AD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C346AD">
        <w:rPr>
          <w:rFonts w:ascii="Bookman Old Style" w:hAnsi="Bookman Old Style"/>
          <w:sz w:val="22"/>
          <w:szCs w:val="22"/>
        </w:rPr>
        <w:t>2</w:t>
      </w:r>
      <w:r w:rsidR="00C346AD">
        <w:rPr>
          <w:rFonts w:ascii="Bookman Old Style" w:hAnsi="Bookman Old Style"/>
          <w:sz w:val="22"/>
          <w:szCs w:val="22"/>
        </w:rPr>
        <w:t>.</w:t>
      </w:r>
      <w:r w:rsidR="00C346AD">
        <w:rPr>
          <w:rFonts w:ascii="Bookman Old Style" w:hAnsi="Bookman Old Style"/>
          <w:sz w:val="22"/>
          <w:szCs w:val="22"/>
        </w:rPr>
        <w:tab/>
      </w:r>
      <w:r w:rsidR="00140AF3" w:rsidRPr="00C346AD">
        <w:rPr>
          <w:rFonts w:ascii="Bookman Old Style" w:hAnsi="Bookman Old Style"/>
          <w:sz w:val="22"/>
          <w:szCs w:val="22"/>
          <w:lang w:val="id-ID"/>
        </w:rPr>
        <w:t>Mukhlis S.H., 197302242003121002, Pembina Tingkat I (IV/b), Kepala Bagian Perencanaan dan Kepegawaian</w:t>
      </w:r>
      <w:r w:rsidR="00140AF3">
        <w:rPr>
          <w:rFonts w:ascii="Bookman Old Style" w:hAnsi="Bookman Old Style"/>
          <w:sz w:val="22"/>
          <w:szCs w:val="22"/>
        </w:rPr>
        <w:t>.</w:t>
      </w:r>
    </w:p>
    <w:p w14:paraId="380A840B" w14:textId="0F50B750" w:rsidR="00C346AD" w:rsidRPr="002C6B58" w:rsidRDefault="00A35B50" w:rsidP="00140AF3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346AD">
        <w:rPr>
          <w:rFonts w:ascii="Bookman Old Style" w:hAnsi="Bookman Old Style"/>
          <w:sz w:val="22"/>
          <w:szCs w:val="22"/>
        </w:rPr>
        <w:tab/>
      </w:r>
      <w:r w:rsidRPr="00C346AD">
        <w:rPr>
          <w:rFonts w:ascii="Bookman Old Style" w:hAnsi="Bookman Old Style"/>
          <w:sz w:val="22"/>
          <w:szCs w:val="22"/>
        </w:rPr>
        <w:tab/>
        <w:t>3.</w:t>
      </w:r>
      <w:r w:rsidR="00C346AD">
        <w:rPr>
          <w:rFonts w:ascii="Bookman Old Style" w:hAnsi="Bookman Old Style"/>
          <w:sz w:val="22"/>
          <w:szCs w:val="22"/>
        </w:rPr>
        <w:tab/>
      </w:r>
      <w:r w:rsidR="00140AF3">
        <w:rPr>
          <w:rFonts w:ascii="Bookman Old Style" w:hAnsi="Bookman Old Style"/>
          <w:sz w:val="22"/>
          <w:szCs w:val="22"/>
        </w:rPr>
        <w:t>Aye Hadiya, PPNPN.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3D1B75CC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140AF3" w:rsidRPr="00140AF3">
        <w:rPr>
          <w:rFonts w:ascii="Bookman Old Style" w:hAnsi="Bookman Old Style"/>
          <w:sz w:val="22"/>
          <w:szCs w:val="22"/>
        </w:rPr>
        <w:t>Mendampingi</w:t>
      </w:r>
      <w:proofErr w:type="spellEnd"/>
      <w:r w:rsidR="00140AF3" w:rsidRPr="00140A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40AF3">
        <w:rPr>
          <w:rFonts w:ascii="Bookman Old Style" w:hAnsi="Bookman Old Style"/>
          <w:sz w:val="22"/>
          <w:szCs w:val="22"/>
        </w:rPr>
        <w:t>tim</w:t>
      </w:r>
      <w:proofErr w:type="spellEnd"/>
      <w:r w:rsidR="00140A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40AF3">
        <w:rPr>
          <w:rFonts w:ascii="Bookman Old Style" w:hAnsi="Bookman Old Style"/>
          <w:sz w:val="22"/>
          <w:szCs w:val="22"/>
        </w:rPr>
        <w:t>dari</w:t>
      </w:r>
      <w:proofErr w:type="spellEnd"/>
      <w:r w:rsidR="00140AF3">
        <w:rPr>
          <w:rFonts w:ascii="Bookman Old Style" w:hAnsi="Bookman Old Style"/>
          <w:sz w:val="22"/>
          <w:szCs w:val="22"/>
        </w:rPr>
        <w:t xml:space="preserve"> </w:t>
      </w:r>
      <w:r w:rsidR="00140AF3">
        <w:rPr>
          <w:rFonts w:ascii="Bookman Old Style" w:hAnsi="Bookman Old Style"/>
          <w:sz w:val="22"/>
          <w:szCs w:val="22"/>
          <w:lang w:val="id-ID"/>
        </w:rPr>
        <w:t>Direktorat Jenderal Badan Peradilan Agama Mahkamah Agung RI</w:t>
      </w:r>
      <w:r w:rsidR="00140AF3">
        <w:rPr>
          <w:rFonts w:ascii="Bookman Old Style" w:hAnsi="Bookman Old Style"/>
          <w:sz w:val="22"/>
          <w:szCs w:val="22"/>
        </w:rPr>
        <w:t xml:space="preserve"> </w:t>
      </w:r>
      <w:r w:rsidR="00140AF3">
        <w:rPr>
          <w:rFonts w:ascii="Bookman Old Style" w:hAnsi="Bookman Old Style"/>
          <w:sz w:val="22"/>
          <w:szCs w:val="22"/>
          <w:lang w:val="id-ID"/>
        </w:rPr>
        <w:t>mengadakan Studi Kelayakan Peninjauan Pembentukan Pengadilan dan Peningkatan Kelas Pengadilan Agama di Wilayah Pengadilan Tinggi Agama Padang</w:t>
      </w:r>
      <w:r w:rsidR="00140AF3" w:rsidRPr="00140AF3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140AF3" w:rsidRPr="00140AF3">
        <w:rPr>
          <w:rFonts w:ascii="Bookman Old Style" w:hAnsi="Bookman Old Style"/>
          <w:sz w:val="22"/>
          <w:szCs w:val="22"/>
        </w:rPr>
        <w:t>tanggal</w:t>
      </w:r>
      <w:proofErr w:type="spellEnd"/>
      <w:r w:rsidR="00140AF3" w:rsidRPr="00140AF3">
        <w:rPr>
          <w:rFonts w:ascii="Bookman Old Style" w:hAnsi="Bookman Old Style"/>
          <w:sz w:val="22"/>
          <w:szCs w:val="22"/>
        </w:rPr>
        <w:t xml:space="preserve"> </w:t>
      </w:r>
      <w:r w:rsidR="00140AF3">
        <w:rPr>
          <w:rFonts w:ascii="Bookman Old Style" w:hAnsi="Bookman Old Style"/>
          <w:sz w:val="22"/>
          <w:szCs w:val="22"/>
        </w:rPr>
        <w:t>20 Juni</w:t>
      </w:r>
      <w:r w:rsidR="00140AF3" w:rsidRPr="00140AF3">
        <w:rPr>
          <w:rFonts w:ascii="Bookman Old Style" w:hAnsi="Bookman Old Style"/>
          <w:sz w:val="22"/>
          <w:szCs w:val="22"/>
        </w:rPr>
        <w:t xml:space="preserve"> 2024</w:t>
      </w:r>
      <w:r w:rsidR="00140AF3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140AF3">
        <w:rPr>
          <w:rFonts w:ascii="Bookman Old Style" w:hAnsi="Bookman Old Style"/>
          <w:sz w:val="22"/>
          <w:szCs w:val="22"/>
        </w:rPr>
        <w:t>Pengadilan</w:t>
      </w:r>
      <w:proofErr w:type="spellEnd"/>
      <w:r w:rsidR="00140AF3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140AF3">
        <w:rPr>
          <w:rFonts w:ascii="Bookman Old Style" w:hAnsi="Bookman Old Style"/>
          <w:sz w:val="22"/>
          <w:szCs w:val="22"/>
        </w:rPr>
        <w:t>Pariaman</w:t>
      </w:r>
      <w:proofErr w:type="spellEnd"/>
      <w:r w:rsidR="000B334A">
        <w:rPr>
          <w:rFonts w:ascii="Bookman Old Style" w:hAnsi="Bookman Old Style"/>
          <w:spacing w:val="2"/>
          <w:sz w:val="22"/>
          <w:szCs w:val="22"/>
        </w:rPr>
        <w:t>.</w:t>
      </w:r>
    </w:p>
    <w:p w14:paraId="4A4FCA1A" w14:textId="77777777" w:rsidR="00B77C2A" w:rsidRPr="0086427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864272">
      <w:pPr>
        <w:rPr>
          <w:rFonts w:ascii="Bookman Old Style" w:hAnsi="Bookman Old Style"/>
          <w:sz w:val="22"/>
          <w:szCs w:val="22"/>
        </w:rPr>
      </w:pPr>
    </w:p>
    <w:p w14:paraId="0DC2C7E8" w14:textId="495A8E9A" w:rsidR="002E6B57" w:rsidRPr="00747D82" w:rsidRDefault="00864272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 Juni 2024</w:t>
      </w:r>
    </w:p>
    <w:p w14:paraId="047BB6C6" w14:textId="0F049E93" w:rsidR="002E6B57" w:rsidRPr="00747D82" w:rsidRDefault="00140AF3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noProof/>
        </w:rPr>
        <w:t xml:space="preserve">Wakil </w:t>
      </w:r>
      <w:proofErr w:type="spellStart"/>
      <w:r w:rsidR="002E6B57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2E6B57"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334838B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09EB9F53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2BB00758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3CFDC9AF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140AF3"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6321E7D7" w:rsidR="0096050A" w:rsidRPr="002C6B58" w:rsidRDefault="00140AF3" w:rsidP="002C6B58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Agama Pariaman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B334A"/>
    <w:rsid w:val="000D3A91"/>
    <w:rsid w:val="000E5FED"/>
    <w:rsid w:val="000F4216"/>
    <w:rsid w:val="00114E6F"/>
    <w:rsid w:val="0013303B"/>
    <w:rsid w:val="00140AF3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0F9C"/>
    <w:rsid w:val="0032408F"/>
    <w:rsid w:val="003322F5"/>
    <w:rsid w:val="00363624"/>
    <w:rsid w:val="003660AF"/>
    <w:rsid w:val="00377F52"/>
    <w:rsid w:val="0039473A"/>
    <w:rsid w:val="00394C40"/>
    <w:rsid w:val="003974A3"/>
    <w:rsid w:val="003A7221"/>
    <w:rsid w:val="003D3D6B"/>
    <w:rsid w:val="003E619E"/>
    <w:rsid w:val="003F5EF0"/>
    <w:rsid w:val="00400296"/>
    <w:rsid w:val="0040261D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A1922"/>
    <w:rsid w:val="006C0C01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A00D7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64272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0CC0"/>
    <w:rsid w:val="00BF2A88"/>
    <w:rsid w:val="00BF54F7"/>
    <w:rsid w:val="00C13F78"/>
    <w:rsid w:val="00C14577"/>
    <w:rsid w:val="00C22AC1"/>
    <w:rsid w:val="00C346AD"/>
    <w:rsid w:val="00C71EB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B68F2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2024-06-20T04:10:00Z</cp:lastPrinted>
  <dcterms:created xsi:type="dcterms:W3CDTF">2024-06-20T08:04:00Z</dcterms:created>
  <dcterms:modified xsi:type="dcterms:W3CDTF">2024-06-20T08:04:00Z</dcterms:modified>
</cp:coreProperties>
</file>