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62C4DBA2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6A4E4B">
        <w:rPr>
          <w:rFonts w:ascii="Bookman Old Style" w:hAnsi="Bookman Old Style"/>
          <w:bCs/>
        </w:rPr>
        <w:t xml:space="preserve">          </w:t>
      </w:r>
      <w:r w:rsidR="006971BD" w:rsidRPr="006971BD">
        <w:rPr>
          <w:rFonts w:ascii="Bookman Old Style" w:hAnsi="Bookman Old Style"/>
          <w:bCs/>
        </w:rPr>
        <w:t>/KPTA.W3-A/</w:t>
      </w:r>
      <w:r w:rsidR="006A4E4B">
        <w:rPr>
          <w:rFonts w:ascii="Bookman Old Style" w:hAnsi="Bookman Old Style"/>
          <w:bCs/>
        </w:rPr>
        <w:t>KU.00</w:t>
      </w:r>
      <w:r w:rsidR="006971BD" w:rsidRPr="006971BD">
        <w:rPr>
          <w:rFonts w:ascii="Bookman Old Style" w:hAnsi="Bookman Old Style"/>
          <w:bCs/>
        </w:rPr>
        <w:t>/</w:t>
      </w:r>
      <w:r w:rsidR="006A4E4B">
        <w:rPr>
          <w:rFonts w:ascii="Bookman Old Style" w:hAnsi="Bookman Old Style"/>
          <w:bCs/>
        </w:rPr>
        <w:t>VI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10A7E726" w:rsidR="00422CD3" w:rsidRPr="00627684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FE798B">
        <w:rPr>
          <w:rFonts w:ascii="Bookman Old Style" w:hAnsi="Bookman Old Style"/>
          <w:sz w:val="21"/>
          <w:szCs w:val="21"/>
        </w:rPr>
        <w:t>Pengadilan Tinggi Agama Padang menyelenggarakan kegiatan Konsolidasi Laporan Keuangan Wilayah Sumatera Barat (005.0800) Semester I Tahun Anggaran 2024 yang diikuti antara lain oleh aparatur Pengadilan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BB82DA2" w14:textId="211AC088" w:rsidR="00317FD4" w:rsidRPr="00627684" w:rsidRDefault="00422CD3" w:rsidP="00627684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627684" w:rsidRPr="00627684">
        <w:rPr>
          <w:rFonts w:ascii="Bookman Old Style" w:hAnsi="Bookman Old Style"/>
          <w:sz w:val="21"/>
          <w:szCs w:val="21"/>
        </w:rPr>
        <w:t>1.</w:t>
      </w:r>
      <w:r w:rsidR="00627684"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r w:rsidR="00FE798B">
        <w:rPr>
          <w:rFonts w:ascii="Bookman Old Style" w:hAnsi="Bookman Old Style"/>
          <w:sz w:val="21"/>
          <w:szCs w:val="21"/>
        </w:rPr>
        <w:t>Ketua Pengadilan Tinggi Agama Padang nomor 1842/KPTA.W3-A/KU2.2/VI/2024 tanggal 12 Juni 2024;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33A313EB" w14:textId="7F6E1D0C" w:rsidR="00627684" w:rsidRPr="00627684" w:rsidRDefault="00627684" w:rsidP="00627684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  <w:t>2.</w:t>
      </w:r>
      <w:r w:rsidRPr="00627684">
        <w:rPr>
          <w:rFonts w:ascii="Bookman Old Style" w:hAnsi="Bookman Old Style"/>
          <w:sz w:val="21"/>
          <w:szCs w:val="21"/>
        </w:rPr>
        <w:tab/>
        <w:t>Daftar Isian Pelaksanaan Anggaran Pengadilan Tinggi Agama Padang Nomor SP DIPA-005.0</w:t>
      </w:r>
      <w:r w:rsidR="007F2D37">
        <w:rPr>
          <w:rFonts w:ascii="Bookman Old Style" w:hAnsi="Bookman Old Style"/>
          <w:sz w:val="21"/>
          <w:szCs w:val="21"/>
        </w:rPr>
        <w:t>1</w:t>
      </w:r>
      <w:r w:rsidRPr="00627684">
        <w:rPr>
          <w:rFonts w:ascii="Bookman Old Style" w:hAnsi="Bookman Old Style"/>
          <w:sz w:val="21"/>
          <w:szCs w:val="21"/>
        </w:rPr>
        <w:t>.2.40190</w:t>
      </w:r>
      <w:r w:rsidR="007F2D37">
        <w:rPr>
          <w:rFonts w:ascii="Bookman Old Style" w:hAnsi="Bookman Old Style"/>
          <w:sz w:val="21"/>
          <w:szCs w:val="21"/>
        </w:rPr>
        <w:t>0</w:t>
      </w:r>
      <w:r w:rsidRPr="00627684">
        <w:rPr>
          <w:rFonts w:ascii="Bookman Old Style" w:hAnsi="Bookman Old Style"/>
          <w:sz w:val="21"/>
          <w:szCs w:val="21"/>
        </w:rPr>
        <w:t>/2024 tanggal 24 November 2023;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602CF845" w14:textId="5EADA93D" w:rsidR="00264FFD" w:rsidRDefault="00422CD3" w:rsidP="006A4E4B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Kepada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6A4E4B">
        <w:rPr>
          <w:rFonts w:ascii="Bookman Old Style" w:hAnsi="Bookman Old Style"/>
          <w:noProof/>
          <w:sz w:val="21"/>
          <w:szCs w:val="21"/>
        </w:rPr>
        <w:t xml:space="preserve">1. </w:t>
      </w:r>
      <w:r w:rsidR="00FE798B" w:rsidRPr="00FE798B">
        <w:rPr>
          <w:rFonts w:ascii="Bookman Old Style" w:hAnsi="Bookman Old Style"/>
          <w:noProof/>
          <w:sz w:val="21"/>
          <w:szCs w:val="21"/>
        </w:rPr>
        <w:t>Ismail, S.H.I., M.A., NIP. 197908202003121004 , Pembina Tk.I (IV/b), Kepala Bagian Umum dan Keuangan</w:t>
      </w:r>
      <w:r w:rsidR="00FE798B">
        <w:rPr>
          <w:rFonts w:ascii="Bookman Old Style" w:hAnsi="Bookman Old Style"/>
          <w:noProof/>
          <w:sz w:val="21"/>
          <w:szCs w:val="21"/>
        </w:rPr>
        <w:t>;</w:t>
      </w:r>
    </w:p>
    <w:p w14:paraId="1D09B546" w14:textId="3B2541BA" w:rsidR="006A4E4B" w:rsidRDefault="006A4E4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2. </w:t>
      </w:r>
      <w:r>
        <w:rPr>
          <w:rFonts w:ascii="Bookman Old Style" w:hAnsi="Bookman Old Style"/>
          <w:noProof/>
          <w:sz w:val="21"/>
          <w:szCs w:val="21"/>
        </w:rPr>
        <w:tab/>
      </w:r>
      <w:r w:rsidR="00FE798B" w:rsidRPr="00FE798B">
        <w:rPr>
          <w:rFonts w:ascii="Bookman Old Style" w:hAnsi="Bookman Old Style"/>
          <w:noProof/>
          <w:sz w:val="21"/>
          <w:szCs w:val="21"/>
        </w:rPr>
        <w:t>Millia Sufia, S.E., S.H., M.M., NIP. 198410142009042002 , Penata Tk.I (III/d), Kepala Sub Bagian Keuangan dan Pelaporan</w:t>
      </w:r>
      <w:r w:rsidR="00FE798B">
        <w:rPr>
          <w:rFonts w:ascii="Bookman Old Style" w:hAnsi="Bookman Old Style"/>
          <w:noProof/>
          <w:sz w:val="21"/>
          <w:szCs w:val="21"/>
        </w:rPr>
        <w:t>;</w:t>
      </w:r>
    </w:p>
    <w:p w14:paraId="1F575344" w14:textId="00CBD6C1" w:rsidR="00FE798B" w:rsidRDefault="00FE798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3.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FE798B">
        <w:rPr>
          <w:rFonts w:ascii="Bookman Old Style" w:hAnsi="Bookman Old Style"/>
          <w:noProof/>
          <w:sz w:val="21"/>
          <w:szCs w:val="21"/>
        </w:rPr>
        <w:t>Elsa Rusdiana, S.E., NIP. 198701252011012017 , Penata (III/c), Analis Pengelolaan Keuangan APBN Ahli Muda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343DAC85" w14:textId="4B12698D" w:rsidR="00FE798B" w:rsidRDefault="00FE798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4.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FE798B">
        <w:rPr>
          <w:rFonts w:ascii="Bookman Old Style" w:hAnsi="Bookman Old Style"/>
          <w:noProof/>
          <w:sz w:val="21"/>
          <w:szCs w:val="21"/>
        </w:rPr>
        <w:t>Fitrya Rafani, S.Kom., NIP. 198905022015032002 , Penata Muda (III/a),</w:t>
      </w:r>
      <w:r>
        <w:rPr>
          <w:rFonts w:ascii="Bookman Old Style" w:hAnsi="Bookman Old Style"/>
          <w:noProof/>
          <w:sz w:val="21"/>
          <w:szCs w:val="21"/>
        </w:rPr>
        <w:t xml:space="preserve"> </w:t>
      </w:r>
      <w:r w:rsidRPr="00FE798B">
        <w:rPr>
          <w:rFonts w:ascii="Bookman Old Style" w:hAnsi="Bookman Old Style"/>
          <w:noProof/>
          <w:sz w:val="21"/>
          <w:szCs w:val="21"/>
        </w:rPr>
        <w:t>Penata Layanan Operasional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4A09F1D3" w14:textId="4CFE3A50" w:rsidR="00FE798B" w:rsidRDefault="00FE798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5.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FE798B">
        <w:rPr>
          <w:rFonts w:ascii="Bookman Old Style" w:hAnsi="Bookman Old Style"/>
          <w:noProof/>
          <w:sz w:val="21"/>
          <w:szCs w:val="21"/>
        </w:rPr>
        <w:t>Novia Mayasari, S.E., NIP. 199011262020122009 , Penata Muda (III/a), Penata Layanan Operasional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3592C35D" w14:textId="38FB4C91" w:rsidR="00FE798B" w:rsidRDefault="00FE798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6.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FE798B">
        <w:rPr>
          <w:rFonts w:ascii="Bookman Old Style" w:hAnsi="Bookman Old Style"/>
          <w:noProof/>
          <w:sz w:val="21"/>
          <w:szCs w:val="21"/>
        </w:rPr>
        <w:t>Yova Nelindy, A.Md., NIP. 199305242019032009 , Pengatur Tk.I (II/d), Pengolah Data dan Informasi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6EFBB991" w14:textId="3DD118AF" w:rsidR="00FE798B" w:rsidRDefault="00FE798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7. 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FE798B">
        <w:rPr>
          <w:rFonts w:ascii="Bookman Old Style" w:hAnsi="Bookman Old Style"/>
          <w:noProof/>
          <w:sz w:val="21"/>
          <w:szCs w:val="21"/>
        </w:rPr>
        <w:t>Efri Sukma, NIP. 198402152006041004 , Penata Muda (III/a), Pengadministrasi Perkantoran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0448784F" w14:textId="76AE6A74" w:rsidR="00FE798B" w:rsidRPr="00627684" w:rsidRDefault="00FE798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8.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FE798B">
        <w:rPr>
          <w:rFonts w:ascii="Bookman Old Style" w:hAnsi="Bookman Old Style"/>
          <w:noProof/>
          <w:sz w:val="21"/>
          <w:szCs w:val="21"/>
        </w:rPr>
        <w:t>Fadil Wahyudy, S.I. Kom</w:t>
      </w:r>
      <w:r>
        <w:rPr>
          <w:rFonts w:ascii="Bookman Old Style" w:hAnsi="Bookman Old Style"/>
          <w:noProof/>
          <w:sz w:val="21"/>
          <w:szCs w:val="21"/>
        </w:rPr>
        <w:t>, PPNPN;</w:t>
      </w:r>
    </w:p>
    <w:p w14:paraId="008CB61C" w14:textId="278C5D50" w:rsidR="00422CD3" w:rsidRPr="00627684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70B91A0E" w:rsidR="00627684" w:rsidRPr="00627684" w:rsidRDefault="00422CD3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Untuk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Mengikuti </w:t>
      </w:r>
      <w:r w:rsidR="00FE798B">
        <w:rPr>
          <w:rFonts w:ascii="Bookman Old Style" w:hAnsi="Bookman Old Style"/>
          <w:sz w:val="21"/>
          <w:szCs w:val="21"/>
        </w:rPr>
        <w:t>kegiatan Konsolidasi Laporan Keuangan Wilayah Sumatera Barat (005.0800) Semester I Tahun Anggaran 2024</w:t>
      </w:r>
      <w:r w:rsidR="00FE798B">
        <w:rPr>
          <w:rFonts w:ascii="Bookman Old Style" w:hAnsi="Bookman Old Style"/>
          <w:sz w:val="21"/>
          <w:szCs w:val="21"/>
        </w:rPr>
        <w:t xml:space="preserve"> di Hotel Santika Premiere Padang, </w:t>
      </w:r>
      <w:r w:rsidR="00FE798B" w:rsidRPr="00FE798B">
        <w:rPr>
          <w:rFonts w:ascii="Bookman Old Style" w:hAnsi="Bookman Old Style"/>
          <w:sz w:val="21"/>
          <w:szCs w:val="21"/>
        </w:rPr>
        <w:t>Jl. Jend. A Yani No.20, Olo, Kec. Padang Bar</w:t>
      </w:r>
      <w:r w:rsidR="00FE798B">
        <w:rPr>
          <w:rFonts w:ascii="Bookman Old Style" w:hAnsi="Bookman Old Style"/>
          <w:sz w:val="21"/>
          <w:szCs w:val="21"/>
        </w:rPr>
        <w:t>at pada tanggal 3 s.d 5 Juli 2024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042C9746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Segala biaya yang timbul dalam kegiatan ini dibebankan kepada DIPA </w:t>
      </w:r>
      <w:r w:rsidR="00FF1E63">
        <w:rPr>
          <w:rFonts w:ascii="Bookman Old Style" w:hAnsi="Bookman Old Style"/>
          <w:sz w:val="21"/>
          <w:szCs w:val="21"/>
        </w:rPr>
        <w:t>Pengadilan Tinggi Agama Padang</w:t>
      </w:r>
      <w:r w:rsidR="00D00D7E">
        <w:rPr>
          <w:rFonts w:ascii="Bookman Old Style" w:hAnsi="Bookman Old Style"/>
          <w:sz w:val="21"/>
          <w:szCs w:val="21"/>
        </w:rPr>
        <w:t xml:space="preserve"> </w:t>
      </w:r>
      <w:r w:rsidRPr="00627684">
        <w:rPr>
          <w:rFonts w:ascii="Bookman Old Style" w:hAnsi="Bookman Old Style"/>
          <w:spacing w:val="2"/>
          <w:sz w:val="21"/>
          <w:szCs w:val="21"/>
        </w:rPr>
        <w:t>Tahun 2024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0351D86D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D00D7E">
        <w:rPr>
          <w:rFonts w:ascii="Bookman Old Style" w:hAnsi="Bookman Old Style"/>
          <w:sz w:val="21"/>
          <w:szCs w:val="21"/>
        </w:rPr>
        <w:t>27 Juni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1FBDD674" w:rsidR="00422CD3" w:rsidRPr="00DB63D9" w:rsidRDefault="00D00D7E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Plt.</w:t>
      </w:r>
      <w:r w:rsidR="00A9495E" w:rsidRPr="00DB63D9">
        <w:rPr>
          <w:rFonts w:ascii="Bookman Old Style" w:hAnsi="Bookman Old Style"/>
          <w:sz w:val="21"/>
          <w:szCs w:val="21"/>
        </w:rPr>
        <w:tab/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12599701" w:rsidR="00422CD3" w:rsidRPr="00D00D7E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D00D7E">
        <w:rPr>
          <w:rFonts w:ascii="Bookman Old Style" w:hAnsi="Bookman Old Style"/>
          <w:sz w:val="21"/>
          <w:szCs w:val="21"/>
        </w:rPr>
        <w:t>Syafri Amrul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6CBA6B82" w14:textId="09543142" w:rsidR="00E6780D" w:rsidRDefault="00E6780D" w:rsidP="00E6780D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</w:p>
    <w:p w14:paraId="55D0F5A6" w14:textId="20DAD973" w:rsidR="00E6780D" w:rsidRPr="00C333D9" w:rsidRDefault="00E6780D" w:rsidP="00E6780D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>Ketua Pengadilan Tinggi Agama Padang (sebagai laporan).</w:t>
      </w:r>
    </w:p>
    <w:p w14:paraId="0964B9BA" w14:textId="77777777" w:rsidR="00FF6877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3087255C" w14:textId="011BAF1A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48E727AD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93DAE"/>
    <w:rsid w:val="004E56B9"/>
    <w:rsid w:val="004E7CE2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27684"/>
    <w:rsid w:val="006428C6"/>
    <w:rsid w:val="00644414"/>
    <w:rsid w:val="00664846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878F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5BC1"/>
    <w:rsid w:val="00D9156F"/>
    <w:rsid w:val="00DB63D9"/>
    <w:rsid w:val="00DC1AC7"/>
    <w:rsid w:val="00DC58A0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E798B"/>
    <w:rsid w:val="00FF1E63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2024-03-15T02:38:00Z</cp:lastPrinted>
  <dcterms:created xsi:type="dcterms:W3CDTF">2024-06-27T02:15:00Z</dcterms:created>
  <dcterms:modified xsi:type="dcterms:W3CDTF">2024-06-27T02:21:00Z</dcterms:modified>
</cp:coreProperties>
</file>