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507D6" w14:textId="77777777" w:rsidR="00325868" w:rsidRDefault="00325868" w:rsidP="0032586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C07DD34" wp14:editId="44BDEB2F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A9B5F" w14:textId="77777777" w:rsidR="00325868" w:rsidRPr="00525DBB" w:rsidRDefault="00325868" w:rsidP="0032586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C776473" w14:textId="77777777" w:rsidR="00325868" w:rsidRPr="00525DBB" w:rsidRDefault="00325868" w:rsidP="0032586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5580EC" w14:textId="77777777" w:rsidR="00325868" w:rsidRDefault="00325868" w:rsidP="0032586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A3F9BDA" w14:textId="77777777" w:rsidR="00325868" w:rsidRPr="00AB5946" w:rsidRDefault="00325868" w:rsidP="0032586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54AC3ED" w14:textId="77777777" w:rsidR="00325868" w:rsidRPr="00AB5946" w:rsidRDefault="00325868" w:rsidP="0032586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04B2AC0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43501" wp14:editId="67A2336A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08C7C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2EB3BE73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09E0C2E" w14:textId="77777777" w:rsidR="00325868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AF0EC3" w14:textId="77777777" w:rsidR="00160923" w:rsidRDefault="00160923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A4628B7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094AC74" w14:textId="77777777" w:rsidR="00325868" w:rsidRPr="00FF6877" w:rsidRDefault="00325868" w:rsidP="00325868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22A8ABEB" w14:textId="46BE5579" w:rsidR="00325868" w:rsidRPr="00287FFA" w:rsidRDefault="00325868" w:rsidP="00325868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BC59F2">
        <w:rPr>
          <w:rFonts w:ascii="Bookman Old Style" w:hAnsi="Bookman Old Style"/>
          <w:bCs/>
        </w:rPr>
        <w:t xml:space="preserve"> </w:t>
      </w:r>
      <w:r w:rsidR="00D55792" w:rsidRPr="00D55792">
        <w:rPr>
          <w:rFonts w:ascii="Bookman Old Style" w:hAnsi="Bookman Old Style"/>
          <w:bCs/>
        </w:rPr>
        <w:t>/KPTA.W3-A/DL1.10/</w:t>
      </w:r>
      <w:r w:rsidR="000D0308">
        <w:rPr>
          <w:rFonts w:ascii="Bookman Old Style" w:hAnsi="Bookman Old Style"/>
          <w:bCs/>
        </w:rPr>
        <w:t>IX</w:t>
      </w:r>
      <w:r w:rsidR="00D55792" w:rsidRPr="00D55792">
        <w:rPr>
          <w:rFonts w:ascii="Bookman Old Style" w:hAnsi="Bookman Old Style"/>
          <w:bCs/>
        </w:rPr>
        <w:t>/2025</w:t>
      </w:r>
    </w:p>
    <w:p w14:paraId="3BD81EAD" w14:textId="77777777" w:rsidR="00325868" w:rsidRPr="00100CAC" w:rsidRDefault="00325868" w:rsidP="00325868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8177ADC" w14:textId="77777777" w:rsidR="00325868" w:rsidRDefault="00325868" w:rsidP="00325868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6BBE9117" w14:textId="77777777" w:rsidR="00160923" w:rsidRPr="00100CAC" w:rsidRDefault="00160923" w:rsidP="00325868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27D10D49" w14:textId="70EA6BC7" w:rsidR="00325868" w:rsidRPr="00DB63D9" w:rsidRDefault="00325868" w:rsidP="00325868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  <w:t xml:space="preserve">bahwa </w:t>
      </w:r>
      <w:proofErr w:type="spellStart"/>
      <w:r w:rsidR="000D0308">
        <w:rPr>
          <w:rFonts w:ascii="Bookman Old Style" w:hAnsi="Bookman Old Style"/>
          <w:sz w:val="21"/>
          <w:szCs w:val="21"/>
          <w:lang w:val="en-GB"/>
        </w:rPr>
        <w:t>Direktorat</w:t>
      </w:r>
      <w:proofErr w:type="spellEnd"/>
      <w:r w:rsidR="000D0308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0D0308">
        <w:rPr>
          <w:rFonts w:ascii="Bookman Old Style" w:hAnsi="Bookman Old Style"/>
          <w:sz w:val="21"/>
          <w:szCs w:val="21"/>
          <w:lang w:val="en-GB"/>
        </w:rPr>
        <w:t>Jenderal</w:t>
      </w:r>
      <w:proofErr w:type="spellEnd"/>
      <w:r w:rsidR="000D0308">
        <w:rPr>
          <w:rFonts w:ascii="Bookman Old Style" w:hAnsi="Bookman Old Style"/>
          <w:sz w:val="21"/>
          <w:szCs w:val="21"/>
          <w:lang w:val="en-GB"/>
        </w:rPr>
        <w:t xml:space="preserve"> Badan </w:t>
      </w:r>
      <w:proofErr w:type="spellStart"/>
      <w:r w:rsidR="000D0308">
        <w:rPr>
          <w:rFonts w:ascii="Bookman Old Style" w:hAnsi="Bookman Old Style"/>
          <w:sz w:val="21"/>
          <w:szCs w:val="21"/>
          <w:lang w:val="en-GB"/>
        </w:rPr>
        <w:t>Peradilan</w:t>
      </w:r>
      <w:proofErr w:type="spellEnd"/>
      <w:r w:rsidR="000D0308">
        <w:rPr>
          <w:rFonts w:ascii="Bookman Old Style" w:hAnsi="Bookman Old Style"/>
          <w:sz w:val="21"/>
          <w:szCs w:val="21"/>
          <w:lang w:val="en-GB"/>
        </w:rPr>
        <w:t xml:space="preserve"> Agama </w:t>
      </w:r>
      <w:proofErr w:type="spellStart"/>
      <w:r w:rsidR="000D0308">
        <w:rPr>
          <w:rFonts w:ascii="Bookman Old Style" w:hAnsi="Bookman Old Style"/>
          <w:sz w:val="21"/>
          <w:szCs w:val="21"/>
          <w:lang w:val="en-GB"/>
        </w:rPr>
        <w:t>Mahkamah</w:t>
      </w:r>
      <w:proofErr w:type="spellEnd"/>
      <w:r w:rsidR="000D0308">
        <w:rPr>
          <w:rFonts w:ascii="Bookman Old Style" w:hAnsi="Bookman Old Style"/>
          <w:sz w:val="21"/>
          <w:szCs w:val="21"/>
          <w:lang w:val="en-GB"/>
        </w:rPr>
        <w:t xml:space="preserve"> Agung RI</w:t>
      </w:r>
      <w:r>
        <w:rPr>
          <w:rFonts w:ascii="Bookman Old Style" w:hAnsi="Bookman Old Style"/>
          <w:sz w:val="21"/>
          <w:szCs w:val="21"/>
          <w:lang w:val="en-GB"/>
        </w:rPr>
        <w:t xml:space="preserve"> m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enyelenggarakan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160923" w:rsidRPr="00160923">
        <w:rPr>
          <w:rFonts w:ascii="Bookman Old Style" w:hAnsi="Bookman Old Style"/>
          <w:sz w:val="21"/>
          <w:szCs w:val="21"/>
        </w:rPr>
        <w:t>Bimbingan</w:t>
      </w:r>
      <w:proofErr w:type="spellEnd"/>
      <w:r w:rsidR="00160923" w:rsidRPr="00160923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Peningkatan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Kompetensi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Bahasa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Inggris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bagi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Tenaga Teknis di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Lingkungan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Peradilan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Secara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Daring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Tahun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2025</w:t>
      </w:r>
      <w:r w:rsidR="00160923" w:rsidRPr="00160923">
        <w:rPr>
          <w:rFonts w:ascii="Bookman Old Style" w:hAnsi="Bookman Old Style"/>
          <w:sz w:val="21"/>
          <w:szCs w:val="21"/>
        </w:rPr>
        <w:t xml:space="preserve"> </w:t>
      </w:r>
      <w:r>
        <w:rPr>
          <w:rFonts w:ascii="Bookman Old Style" w:hAnsi="Bookman Old Style"/>
          <w:sz w:val="21"/>
          <w:szCs w:val="21"/>
          <w:lang w:val="en-GB"/>
        </w:rPr>
        <w:t xml:space="preserve">yang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diikuti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antara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lain oleh </w:t>
      </w:r>
      <w:r w:rsidR="000D0308">
        <w:rPr>
          <w:rFonts w:ascii="Bookman Old Style" w:hAnsi="Bookman Old Style"/>
          <w:sz w:val="21"/>
          <w:szCs w:val="21"/>
          <w:lang w:val="en-GB"/>
        </w:rPr>
        <w:t>Hakim</w:t>
      </w:r>
      <w:r w:rsidR="00160923">
        <w:rPr>
          <w:rFonts w:ascii="Bookman Old Style" w:hAnsi="Bookman Old Style"/>
          <w:sz w:val="21"/>
          <w:szCs w:val="21"/>
          <w:lang w:val="en-GB"/>
        </w:rPr>
        <w:t xml:space="preserve"> </w:t>
      </w:r>
      <w:r>
        <w:rPr>
          <w:rFonts w:ascii="Bookman Old Style" w:hAnsi="Bookman Old Style"/>
          <w:sz w:val="21"/>
          <w:szCs w:val="21"/>
          <w:lang w:val="en-GB"/>
        </w:rPr>
        <w:t xml:space="preserve">pada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Pengadilan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Tinggi Agama Padang</w:t>
      </w:r>
      <w:r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19F76850" w14:textId="77777777" w:rsidR="00325868" w:rsidRPr="00560CF3" w:rsidRDefault="00325868" w:rsidP="00325868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36980C8" w14:textId="1598A0A9" w:rsidR="00325868" w:rsidRDefault="00325868" w:rsidP="00325868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>
        <w:rPr>
          <w:rFonts w:ascii="Bookman Old Style" w:hAnsi="Bookman Old Style"/>
          <w:sz w:val="21"/>
          <w:szCs w:val="21"/>
        </w:rPr>
        <w:tab/>
        <w:t xml:space="preserve">Surat </w:t>
      </w:r>
      <w:proofErr w:type="spellStart"/>
      <w:r w:rsidR="000D0308">
        <w:rPr>
          <w:rFonts w:ascii="Bookman Old Style" w:hAnsi="Bookman Old Style"/>
          <w:sz w:val="21"/>
          <w:szCs w:val="21"/>
          <w:lang w:val="en-GB"/>
        </w:rPr>
        <w:t>Direktur</w:t>
      </w:r>
      <w:proofErr w:type="spellEnd"/>
      <w:r w:rsidR="000D0308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0D0308">
        <w:rPr>
          <w:rFonts w:ascii="Bookman Old Style" w:hAnsi="Bookman Old Style"/>
          <w:sz w:val="21"/>
          <w:szCs w:val="21"/>
          <w:lang w:val="en-GB"/>
        </w:rPr>
        <w:t>Jenderal</w:t>
      </w:r>
      <w:proofErr w:type="spellEnd"/>
      <w:r w:rsidR="000D0308">
        <w:rPr>
          <w:rFonts w:ascii="Bookman Old Style" w:hAnsi="Bookman Old Style"/>
          <w:sz w:val="21"/>
          <w:szCs w:val="21"/>
          <w:lang w:val="en-GB"/>
        </w:rPr>
        <w:t xml:space="preserve"> Badan </w:t>
      </w:r>
      <w:proofErr w:type="spellStart"/>
      <w:r w:rsidR="000D0308">
        <w:rPr>
          <w:rFonts w:ascii="Bookman Old Style" w:hAnsi="Bookman Old Style"/>
          <w:sz w:val="21"/>
          <w:szCs w:val="21"/>
          <w:lang w:val="en-GB"/>
        </w:rPr>
        <w:t>Peradilan</w:t>
      </w:r>
      <w:proofErr w:type="spellEnd"/>
      <w:r w:rsidR="000D0308">
        <w:rPr>
          <w:rFonts w:ascii="Bookman Old Style" w:hAnsi="Bookman Old Style"/>
          <w:sz w:val="21"/>
          <w:szCs w:val="21"/>
          <w:lang w:val="en-GB"/>
        </w:rPr>
        <w:t xml:space="preserve"> Agama </w:t>
      </w:r>
      <w:proofErr w:type="spellStart"/>
      <w:r w:rsidR="000D0308">
        <w:rPr>
          <w:rFonts w:ascii="Bookman Old Style" w:hAnsi="Bookman Old Style"/>
          <w:sz w:val="21"/>
          <w:szCs w:val="21"/>
          <w:lang w:val="en-GB"/>
        </w:rPr>
        <w:t>Mahkamah</w:t>
      </w:r>
      <w:proofErr w:type="spellEnd"/>
      <w:r w:rsidR="000D0308">
        <w:rPr>
          <w:rFonts w:ascii="Bookman Old Style" w:hAnsi="Bookman Old Style"/>
          <w:sz w:val="21"/>
          <w:szCs w:val="21"/>
          <w:lang w:val="en-GB"/>
        </w:rPr>
        <w:t xml:space="preserve"> Agung RI</w:t>
      </w:r>
      <w:r w:rsidR="00160923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nomor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0D0308" w:rsidRPr="000D0308">
        <w:rPr>
          <w:rFonts w:ascii="Bookman Old Style" w:hAnsi="Bookman Old Style"/>
          <w:sz w:val="21"/>
          <w:szCs w:val="21"/>
        </w:rPr>
        <w:t>2339/DJA/DL1.10/IX/2025</w:t>
      </w:r>
      <w:r w:rsidR="000D0308" w:rsidRP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tanggal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0D0308">
        <w:rPr>
          <w:rFonts w:ascii="Bookman Old Style" w:hAnsi="Bookman Old Style"/>
          <w:sz w:val="21"/>
          <w:szCs w:val="21"/>
          <w:lang w:val="en-GB"/>
        </w:rPr>
        <w:t xml:space="preserve">9 September </w:t>
      </w:r>
      <w:r w:rsidR="007D7C1F">
        <w:rPr>
          <w:rFonts w:ascii="Bookman Old Style" w:hAnsi="Bookman Old Style"/>
          <w:sz w:val="21"/>
          <w:szCs w:val="21"/>
          <w:lang w:val="en-GB"/>
        </w:rPr>
        <w:t>2025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perihal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0D0308">
        <w:rPr>
          <w:rFonts w:ascii="Bookman Old Style" w:hAnsi="Bookman Old Style"/>
          <w:sz w:val="21"/>
          <w:szCs w:val="21"/>
        </w:rPr>
        <w:t>Pelaksanaan</w:t>
      </w:r>
      <w:proofErr w:type="spellEnd"/>
      <w:r w:rsid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D0308">
        <w:rPr>
          <w:rFonts w:ascii="Bookman Old Style" w:hAnsi="Bookman Old Style"/>
          <w:sz w:val="21"/>
          <w:szCs w:val="21"/>
        </w:rPr>
        <w:t>Kegiatan</w:t>
      </w:r>
      <w:proofErr w:type="spellEnd"/>
      <w:r w:rsidR="000D0308">
        <w:rPr>
          <w:rFonts w:ascii="Bookman Old Style" w:hAnsi="Bookman Old Style"/>
          <w:sz w:val="21"/>
          <w:szCs w:val="21"/>
        </w:rPr>
        <w:t xml:space="preserve"> </w:t>
      </w:r>
      <w:r w:rsidR="000D0308" w:rsidRPr="00160923">
        <w:rPr>
          <w:rFonts w:ascii="Bookman Old Style" w:hAnsi="Bookman Old Style"/>
          <w:sz w:val="21"/>
          <w:szCs w:val="21"/>
        </w:rPr>
        <w:t xml:space="preserve">Bimbingan Teknis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Peningkatan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Kompetensi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Bahasa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Inggris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bagi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Tenaga Teknis di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Lingkungan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Peradilan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Secara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Daring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Tahun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2025</w:t>
      </w:r>
      <w:r>
        <w:rPr>
          <w:rFonts w:ascii="Bookman Old Style" w:hAnsi="Bookman Old Style"/>
          <w:sz w:val="21"/>
          <w:szCs w:val="21"/>
        </w:rPr>
        <w:t>;</w:t>
      </w:r>
    </w:p>
    <w:p w14:paraId="417E4994" w14:textId="77777777" w:rsidR="00325868" w:rsidRPr="004C0571" w:rsidRDefault="00325868" w:rsidP="00325868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24D99333" w14:textId="77777777" w:rsidR="00325868" w:rsidRPr="00DB63D9" w:rsidRDefault="00325868" w:rsidP="00325868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49F0DC99" w14:textId="77777777" w:rsidR="00325868" w:rsidRPr="00560CF3" w:rsidRDefault="00325868" w:rsidP="00325868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384BC7F4" w14:textId="1BBE710C" w:rsidR="00325868" w:rsidRDefault="00325868" w:rsidP="00325868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Pr="00DB63D9">
        <w:rPr>
          <w:rFonts w:ascii="Bookman Old Style" w:hAnsi="Bookman Old Style"/>
          <w:sz w:val="21"/>
          <w:szCs w:val="21"/>
        </w:rPr>
        <w:tab/>
      </w:r>
      <w:r w:rsidR="000D0308" w:rsidRPr="000D0308">
        <w:rPr>
          <w:rFonts w:ascii="Bookman Old Style" w:hAnsi="Bookman Old Style"/>
          <w:sz w:val="22"/>
          <w:szCs w:val="22"/>
        </w:rPr>
        <w:t xml:space="preserve">Dra. </w:t>
      </w:r>
      <w:proofErr w:type="spellStart"/>
      <w:r w:rsidR="000D0308" w:rsidRPr="000D0308">
        <w:rPr>
          <w:rFonts w:ascii="Bookman Old Style" w:hAnsi="Bookman Old Style"/>
          <w:sz w:val="22"/>
          <w:szCs w:val="22"/>
        </w:rPr>
        <w:t>Burnalis</w:t>
      </w:r>
      <w:proofErr w:type="spellEnd"/>
      <w:r w:rsidR="000D0308" w:rsidRPr="000D0308">
        <w:rPr>
          <w:rFonts w:ascii="Bookman Old Style" w:hAnsi="Bookman Old Style"/>
          <w:sz w:val="22"/>
          <w:szCs w:val="22"/>
        </w:rPr>
        <w:t>, M.A</w:t>
      </w:r>
      <w:r w:rsidR="000D0308" w:rsidRPr="000D0308">
        <w:rPr>
          <w:rFonts w:ascii="Bookman Old Style" w:hAnsi="Bookman Old Style"/>
          <w:sz w:val="22"/>
          <w:szCs w:val="22"/>
          <w:lang w:val="en-GB"/>
        </w:rPr>
        <w:t xml:space="preserve">., 196207061982032002, </w:t>
      </w:r>
      <w:r w:rsidR="000D0308" w:rsidRPr="000D0308">
        <w:rPr>
          <w:rFonts w:ascii="Bookman Old Style" w:hAnsi="Bookman Old Style"/>
          <w:sz w:val="22"/>
          <w:szCs w:val="22"/>
          <w:lang w:val="id-ID"/>
        </w:rPr>
        <w:t>Pembina</w:t>
      </w:r>
      <w:r w:rsidR="000D0308" w:rsidRPr="000D0308">
        <w:rPr>
          <w:rFonts w:ascii="Bookman Old Style" w:hAnsi="Bookman Old Style"/>
          <w:sz w:val="22"/>
          <w:szCs w:val="22"/>
        </w:rPr>
        <w:t xml:space="preserve"> Utama</w:t>
      </w:r>
      <w:r w:rsidR="000D0308" w:rsidRPr="000D0308">
        <w:rPr>
          <w:rFonts w:ascii="Bookman Old Style" w:hAnsi="Bookman Old Style"/>
          <w:sz w:val="22"/>
          <w:szCs w:val="22"/>
          <w:lang w:val="id-ID"/>
        </w:rPr>
        <w:t xml:space="preserve"> (IV/</w:t>
      </w:r>
      <w:r w:rsidR="000D0308" w:rsidRPr="000D0308">
        <w:rPr>
          <w:rFonts w:ascii="Bookman Old Style" w:hAnsi="Bookman Old Style"/>
          <w:sz w:val="22"/>
          <w:szCs w:val="22"/>
        </w:rPr>
        <w:t>e</w:t>
      </w:r>
      <w:r w:rsidR="000D0308" w:rsidRPr="000D0308">
        <w:rPr>
          <w:rFonts w:ascii="Bookman Old Style" w:hAnsi="Bookman Old Style"/>
          <w:sz w:val="22"/>
          <w:szCs w:val="22"/>
          <w:lang w:val="id-ID"/>
        </w:rPr>
        <w:t>)</w:t>
      </w:r>
      <w:r w:rsidR="000D0308" w:rsidRPr="000D0308">
        <w:rPr>
          <w:rFonts w:ascii="Bookman Old Style" w:hAnsi="Bookman Old Style"/>
          <w:sz w:val="22"/>
          <w:szCs w:val="22"/>
          <w:lang w:val="en-GB"/>
        </w:rPr>
        <w:t xml:space="preserve">, </w:t>
      </w:r>
      <w:r w:rsidR="000D0308" w:rsidRPr="000D0308">
        <w:rPr>
          <w:rFonts w:ascii="Bookman Old Style" w:hAnsi="Bookman Old Style"/>
          <w:sz w:val="22"/>
          <w:szCs w:val="22"/>
        </w:rPr>
        <w:t xml:space="preserve">Hakim </w:t>
      </w:r>
      <w:r w:rsidR="000D0308">
        <w:rPr>
          <w:rFonts w:ascii="Bookman Old Style" w:hAnsi="Bookman Old Style"/>
          <w:sz w:val="22"/>
          <w:szCs w:val="22"/>
        </w:rPr>
        <w:t xml:space="preserve">Utama/ Hakim Tinggi </w:t>
      </w:r>
      <w:proofErr w:type="spellStart"/>
      <w:r w:rsidR="000D0308">
        <w:rPr>
          <w:rFonts w:ascii="Bookman Old Style" w:hAnsi="Bookman Old Style"/>
          <w:sz w:val="22"/>
          <w:szCs w:val="22"/>
        </w:rPr>
        <w:t>Pengadilan</w:t>
      </w:r>
      <w:proofErr w:type="spellEnd"/>
      <w:r w:rsidR="000D0308">
        <w:rPr>
          <w:rFonts w:ascii="Bookman Old Style" w:hAnsi="Bookman Old Style"/>
          <w:sz w:val="22"/>
          <w:szCs w:val="22"/>
        </w:rPr>
        <w:t xml:space="preserve"> Tinggi Agama Padang</w:t>
      </w:r>
      <w:r w:rsidR="00160923">
        <w:rPr>
          <w:rFonts w:ascii="Bookman Old Style" w:hAnsi="Bookman Old Style"/>
          <w:noProof/>
          <w:sz w:val="21"/>
          <w:szCs w:val="21"/>
        </w:rPr>
        <w:t>.</w:t>
      </w:r>
    </w:p>
    <w:p w14:paraId="4E42A478" w14:textId="77777777" w:rsidR="00325868" w:rsidRPr="00560CF3" w:rsidRDefault="00325868" w:rsidP="00325868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16"/>
          <w:szCs w:val="16"/>
        </w:rPr>
      </w:pPr>
    </w:p>
    <w:p w14:paraId="0C798960" w14:textId="28EA86E1" w:rsidR="00325868" w:rsidRDefault="00325868" w:rsidP="0016092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  <w:lang w:val="en-GB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>
        <w:rPr>
          <w:rFonts w:ascii="Bookman Old Style" w:hAnsi="Bookman Old Style"/>
          <w:sz w:val="21"/>
          <w:szCs w:val="21"/>
        </w:rPr>
        <w:t>Mengikuti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160923" w:rsidRPr="00160923">
        <w:rPr>
          <w:rFonts w:ascii="Bookman Old Style" w:hAnsi="Bookman Old Style"/>
          <w:sz w:val="21"/>
          <w:szCs w:val="21"/>
        </w:rPr>
        <w:t>Bimbingan</w:t>
      </w:r>
      <w:proofErr w:type="spellEnd"/>
      <w:r w:rsidR="00160923" w:rsidRPr="00160923">
        <w:rPr>
          <w:rFonts w:ascii="Bookman Old Style" w:hAnsi="Bookman Old Style"/>
          <w:sz w:val="21"/>
          <w:szCs w:val="21"/>
        </w:rPr>
        <w:t xml:space="preserve"> Teknis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Peningkatan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Kompetensi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Bahasa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Inggris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bagi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Tenaga Teknis di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Lingkungan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Peradilan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Secara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Daring </w:t>
      </w:r>
      <w:proofErr w:type="spellStart"/>
      <w:r w:rsidR="000D0308" w:rsidRPr="000D0308">
        <w:rPr>
          <w:rFonts w:ascii="Bookman Old Style" w:hAnsi="Bookman Old Style"/>
          <w:sz w:val="21"/>
          <w:szCs w:val="21"/>
        </w:rPr>
        <w:t>Tahun</w:t>
      </w:r>
      <w:proofErr w:type="spellEnd"/>
      <w:r w:rsidR="000D0308" w:rsidRPr="000D0308">
        <w:rPr>
          <w:rFonts w:ascii="Bookman Old Style" w:hAnsi="Bookman Old Style"/>
          <w:sz w:val="21"/>
          <w:szCs w:val="21"/>
        </w:rPr>
        <w:t xml:space="preserve"> 2025</w:t>
      </w:r>
      <w:r w:rsidR="00160923">
        <w:rPr>
          <w:rFonts w:ascii="Bookman Old Style" w:hAnsi="Bookman Old Style"/>
          <w:sz w:val="21"/>
          <w:szCs w:val="21"/>
        </w:rPr>
        <w:t xml:space="preserve"> pada </w:t>
      </w:r>
      <w:proofErr w:type="spellStart"/>
      <w:r w:rsidR="00160923">
        <w:rPr>
          <w:rFonts w:ascii="Bookman Old Style" w:hAnsi="Bookman Old Style"/>
          <w:sz w:val="21"/>
          <w:szCs w:val="21"/>
        </w:rPr>
        <w:t>tanggal</w:t>
      </w:r>
      <w:proofErr w:type="spellEnd"/>
      <w:r w:rsidR="00160923">
        <w:rPr>
          <w:rFonts w:ascii="Bookman Old Style" w:hAnsi="Bookman Old Style"/>
          <w:sz w:val="21"/>
          <w:szCs w:val="21"/>
        </w:rPr>
        <w:t xml:space="preserve"> </w:t>
      </w:r>
      <w:r w:rsidR="000D0308">
        <w:rPr>
          <w:rFonts w:ascii="Bookman Old Style" w:hAnsi="Bookman Old Style"/>
          <w:sz w:val="21"/>
          <w:szCs w:val="21"/>
        </w:rPr>
        <w:t>12 September</w:t>
      </w:r>
      <w:r w:rsidR="00160923">
        <w:rPr>
          <w:rFonts w:ascii="Bookman Old Style" w:hAnsi="Bookman Old Style"/>
          <w:sz w:val="21"/>
          <w:szCs w:val="21"/>
        </w:rPr>
        <w:t xml:space="preserve"> 2025 </w:t>
      </w:r>
      <w:proofErr w:type="spellStart"/>
      <w:r w:rsidR="00160923">
        <w:rPr>
          <w:rFonts w:ascii="Bookman Old Style" w:hAnsi="Bookman Old Style"/>
          <w:sz w:val="21"/>
          <w:szCs w:val="21"/>
        </w:rPr>
        <w:t>secara</w:t>
      </w:r>
      <w:proofErr w:type="spellEnd"/>
      <w:r w:rsidR="00160923">
        <w:rPr>
          <w:rFonts w:ascii="Bookman Old Style" w:hAnsi="Bookman Old Style"/>
          <w:sz w:val="21"/>
          <w:szCs w:val="21"/>
        </w:rPr>
        <w:t xml:space="preserve"> </w:t>
      </w:r>
      <w:r w:rsidR="000D0308">
        <w:rPr>
          <w:rFonts w:ascii="Bookman Old Style" w:hAnsi="Bookman Old Style"/>
          <w:sz w:val="21"/>
          <w:szCs w:val="21"/>
        </w:rPr>
        <w:t>daring.</w:t>
      </w:r>
    </w:p>
    <w:p w14:paraId="45ABF244" w14:textId="77777777" w:rsidR="00160923" w:rsidRPr="00160923" w:rsidRDefault="00160923" w:rsidP="0016092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  <w:lang w:val="en-GB"/>
        </w:rPr>
      </w:pPr>
    </w:p>
    <w:p w14:paraId="2D97DD73" w14:textId="3B7768DA" w:rsidR="00325868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en-GB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="000B3192" w:rsidRPr="005A5D31">
        <w:rPr>
          <w:rFonts w:ascii="Bookman Old Style" w:hAnsi="Bookman Old Style"/>
          <w:sz w:val="22"/>
          <w:szCs w:val="22"/>
        </w:rPr>
        <w:t xml:space="preserve">Selama </w:t>
      </w:r>
      <w:proofErr w:type="spellStart"/>
      <w:r w:rsidR="000B3192" w:rsidRPr="005A5D31">
        <w:rPr>
          <w:rFonts w:ascii="Bookman Old Style" w:hAnsi="Bookman Old Style"/>
          <w:sz w:val="22"/>
          <w:szCs w:val="22"/>
        </w:rPr>
        <w:t>mengikuti</w:t>
      </w:r>
      <w:proofErr w:type="spellEnd"/>
      <w:r w:rsidR="000B3192" w:rsidRPr="005A5D3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D0308">
        <w:rPr>
          <w:rFonts w:ascii="Bookman Old Style" w:hAnsi="Bookman Old Style"/>
          <w:sz w:val="22"/>
          <w:szCs w:val="22"/>
        </w:rPr>
        <w:t>bimbingan</w:t>
      </w:r>
      <w:proofErr w:type="spellEnd"/>
      <w:r w:rsidR="000D0308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D0308">
        <w:rPr>
          <w:rFonts w:ascii="Bookman Old Style" w:hAnsi="Bookman Old Style"/>
          <w:sz w:val="22"/>
          <w:szCs w:val="22"/>
        </w:rPr>
        <w:t>teknis</w:t>
      </w:r>
      <w:proofErr w:type="spellEnd"/>
      <w:r w:rsidR="000B3192" w:rsidRPr="005A5D31">
        <w:rPr>
          <w:rFonts w:ascii="Bookman Old Style" w:hAnsi="Bookman Old Style"/>
          <w:sz w:val="22"/>
          <w:szCs w:val="22"/>
        </w:rPr>
        <w:t xml:space="preserve"> yang </w:t>
      </w:r>
      <w:proofErr w:type="spellStart"/>
      <w:r w:rsidR="000B3192" w:rsidRPr="005A5D31">
        <w:rPr>
          <w:rFonts w:ascii="Bookman Old Style" w:hAnsi="Bookman Old Style"/>
          <w:sz w:val="22"/>
          <w:szCs w:val="22"/>
        </w:rPr>
        <w:t>bersangkutan</w:t>
      </w:r>
      <w:proofErr w:type="spellEnd"/>
      <w:r w:rsidR="000B3192" w:rsidRPr="005A5D3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B3192" w:rsidRPr="005A5D31">
        <w:rPr>
          <w:rFonts w:ascii="Bookman Old Style" w:hAnsi="Bookman Old Style"/>
          <w:sz w:val="22"/>
          <w:szCs w:val="22"/>
        </w:rPr>
        <w:t>dibebaskan</w:t>
      </w:r>
      <w:proofErr w:type="spellEnd"/>
      <w:r w:rsidR="000B3192" w:rsidRPr="005A5D3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B3192" w:rsidRPr="005A5D31">
        <w:rPr>
          <w:rFonts w:ascii="Bookman Old Style" w:hAnsi="Bookman Old Style"/>
          <w:sz w:val="22"/>
          <w:szCs w:val="22"/>
        </w:rPr>
        <w:t>dari</w:t>
      </w:r>
      <w:proofErr w:type="spellEnd"/>
      <w:r w:rsidR="000B3192" w:rsidRPr="005A5D3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B3192" w:rsidRPr="005A5D31">
        <w:rPr>
          <w:rFonts w:ascii="Bookman Old Style" w:hAnsi="Bookman Old Style"/>
          <w:sz w:val="22"/>
          <w:szCs w:val="22"/>
        </w:rPr>
        <w:t>tugas</w:t>
      </w:r>
      <w:proofErr w:type="spellEnd"/>
      <w:r w:rsidR="000B3192" w:rsidRPr="005A5D31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B3192" w:rsidRPr="005A5D31">
        <w:rPr>
          <w:rFonts w:ascii="Bookman Old Style" w:hAnsi="Bookman Old Style"/>
          <w:sz w:val="22"/>
          <w:szCs w:val="22"/>
        </w:rPr>
        <w:t>kantor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>.</w:t>
      </w:r>
    </w:p>
    <w:p w14:paraId="361759BF" w14:textId="77777777" w:rsidR="00325868" w:rsidRPr="0056022B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en-GB"/>
        </w:rPr>
      </w:pPr>
    </w:p>
    <w:p w14:paraId="38DACD7A" w14:textId="77777777" w:rsidR="00325868" w:rsidRPr="00236081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3D099A09" w14:textId="77777777" w:rsidR="00325868" w:rsidRPr="00160923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0"/>
          <w:szCs w:val="20"/>
        </w:rPr>
      </w:pPr>
    </w:p>
    <w:p w14:paraId="746370B4" w14:textId="77777777" w:rsidR="00325868" w:rsidRPr="00160923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0"/>
          <w:szCs w:val="20"/>
        </w:rPr>
      </w:pPr>
    </w:p>
    <w:p w14:paraId="5A1BFE0A" w14:textId="77777777" w:rsidR="00160923" w:rsidRDefault="00160923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25E7985D" w14:textId="24B95949" w:rsidR="00325868" w:rsidRPr="00DB63D9" w:rsidRDefault="00325868" w:rsidP="00325868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Padang, </w:t>
      </w:r>
      <w:r w:rsidR="000D0308">
        <w:rPr>
          <w:rFonts w:ascii="Bookman Old Style" w:hAnsi="Bookman Old Style"/>
          <w:sz w:val="21"/>
          <w:szCs w:val="21"/>
        </w:rPr>
        <w:t>11 September</w:t>
      </w:r>
      <w:r w:rsidR="00160923">
        <w:rPr>
          <w:rFonts w:ascii="Bookman Old Style" w:hAnsi="Bookman Old Style"/>
          <w:sz w:val="21"/>
          <w:szCs w:val="21"/>
        </w:rPr>
        <w:t xml:space="preserve"> 2025</w:t>
      </w:r>
    </w:p>
    <w:p w14:paraId="40CCDBB6" w14:textId="5D3A85C3" w:rsidR="00325868" w:rsidRPr="00DB63D9" w:rsidRDefault="00325868" w:rsidP="00325868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Pr="00DB63D9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0E15AA3D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7030A6D2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157CBD21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6D7051C2" w14:textId="77777777" w:rsidR="00325868" w:rsidRPr="00DB63D9" w:rsidRDefault="00325868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8FD7737" w14:textId="209A9579" w:rsidR="00325868" w:rsidRDefault="00160923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>Abd. Hakim</w:t>
      </w:r>
    </w:p>
    <w:p w14:paraId="7ED336A5" w14:textId="77777777" w:rsidR="00325868" w:rsidRDefault="00325868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7EC94294" w14:textId="77777777" w:rsidR="00160923" w:rsidRDefault="00160923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6C0D748D" w14:textId="77777777" w:rsidR="00D55792" w:rsidRDefault="00325868" w:rsidP="00D5579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Tembusan: </w:t>
      </w:r>
    </w:p>
    <w:p w14:paraId="25D9CCA4" w14:textId="033CD2AA" w:rsidR="00F675C9" w:rsidRPr="00325868" w:rsidRDefault="00160923" w:rsidP="00D55792">
      <w:proofErr w:type="spellStart"/>
      <w:r>
        <w:rPr>
          <w:rFonts w:ascii="Bookman Old Style" w:hAnsi="Bookman Old Style"/>
          <w:sz w:val="20"/>
          <w:szCs w:val="20"/>
          <w:lang w:val="en-GB"/>
        </w:rPr>
        <w:t>Yth</w:t>
      </w:r>
      <w:proofErr w:type="spellEnd"/>
      <w:r>
        <w:rPr>
          <w:rFonts w:ascii="Bookman Old Style" w:hAnsi="Bookman Old Style"/>
          <w:sz w:val="20"/>
          <w:szCs w:val="20"/>
          <w:lang w:val="en-GB"/>
        </w:rPr>
        <w:t xml:space="preserve">. </w:t>
      </w:r>
      <w:proofErr w:type="spellStart"/>
      <w:r w:rsidR="000D0308">
        <w:rPr>
          <w:rFonts w:ascii="Bookman Old Style" w:hAnsi="Bookman Old Style"/>
          <w:sz w:val="20"/>
          <w:szCs w:val="20"/>
          <w:lang w:val="en-GB"/>
        </w:rPr>
        <w:t>Direktur</w:t>
      </w:r>
      <w:proofErr w:type="spellEnd"/>
      <w:r w:rsidR="000D0308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="000D0308">
        <w:rPr>
          <w:rFonts w:ascii="Bookman Old Style" w:hAnsi="Bookman Old Style"/>
          <w:sz w:val="20"/>
          <w:szCs w:val="20"/>
          <w:lang w:val="en-GB"/>
        </w:rPr>
        <w:t>Jenderal</w:t>
      </w:r>
      <w:proofErr w:type="spellEnd"/>
      <w:r w:rsidR="000D0308">
        <w:rPr>
          <w:rFonts w:ascii="Bookman Old Style" w:hAnsi="Bookman Old Style"/>
          <w:sz w:val="20"/>
          <w:szCs w:val="20"/>
          <w:lang w:val="en-GB"/>
        </w:rPr>
        <w:t xml:space="preserve"> Badan </w:t>
      </w:r>
      <w:proofErr w:type="spellStart"/>
      <w:r w:rsidR="000D0308">
        <w:rPr>
          <w:rFonts w:ascii="Bookman Old Style" w:hAnsi="Bookman Old Style"/>
          <w:sz w:val="20"/>
          <w:szCs w:val="20"/>
          <w:lang w:val="en-GB"/>
        </w:rPr>
        <w:t>Peradilan</w:t>
      </w:r>
      <w:proofErr w:type="spellEnd"/>
      <w:r w:rsidR="000D0308">
        <w:rPr>
          <w:rFonts w:ascii="Bookman Old Style" w:hAnsi="Bookman Old Style"/>
          <w:sz w:val="20"/>
          <w:szCs w:val="20"/>
          <w:lang w:val="en-GB"/>
        </w:rPr>
        <w:t xml:space="preserve"> Agama </w:t>
      </w:r>
      <w:proofErr w:type="spellStart"/>
      <w:r w:rsidR="000D0308">
        <w:rPr>
          <w:rFonts w:ascii="Bookman Old Style" w:hAnsi="Bookman Old Style"/>
          <w:sz w:val="20"/>
          <w:szCs w:val="20"/>
          <w:lang w:val="en-GB"/>
        </w:rPr>
        <w:t>Mahkamah</w:t>
      </w:r>
      <w:proofErr w:type="spellEnd"/>
      <w:r w:rsidR="000D0308">
        <w:rPr>
          <w:rFonts w:ascii="Bookman Old Style" w:hAnsi="Bookman Old Style"/>
          <w:sz w:val="20"/>
          <w:szCs w:val="20"/>
          <w:lang w:val="en-GB"/>
        </w:rPr>
        <w:t xml:space="preserve"> Agung RI.</w:t>
      </w:r>
    </w:p>
    <w:sectPr w:rsidR="00F675C9" w:rsidRPr="00325868" w:rsidSect="008E28DA">
      <w:pgSz w:w="12240" w:h="18720" w:code="168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7089"/>
    <w:multiLevelType w:val="hybridMultilevel"/>
    <w:tmpl w:val="01628B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2E14"/>
    <w:multiLevelType w:val="hybridMultilevel"/>
    <w:tmpl w:val="128A7606"/>
    <w:lvl w:ilvl="0" w:tplc="88C436D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617604">
    <w:abstractNumId w:val="0"/>
  </w:num>
  <w:num w:numId="2" w16cid:durableId="734200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2412D"/>
    <w:rsid w:val="000417C2"/>
    <w:rsid w:val="000450C1"/>
    <w:rsid w:val="00052888"/>
    <w:rsid w:val="0006594F"/>
    <w:rsid w:val="00075688"/>
    <w:rsid w:val="00077BFF"/>
    <w:rsid w:val="000860DA"/>
    <w:rsid w:val="000911F0"/>
    <w:rsid w:val="000A3408"/>
    <w:rsid w:val="000B3192"/>
    <w:rsid w:val="000C0945"/>
    <w:rsid w:val="000D0308"/>
    <w:rsid w:val="000D3A91"/>
    <w:rsid w:val="000D60E8"/>
    <w:rsid w:val="000F4216"/>
    <w:rsid w:val="000F467C"/>
    <w:rsid w:val="00100CAC"/>
    <w:rsid w:val="00114E6F"/>
    <w:rsid w:val="00153FA6"/>
    <w:rsid w:val="00160923"/>
    <w:rsid w:val="001673D4"/>
    <w:rsid w:val="00174659"/>
    <w:rsid w:val="0017747E"/>
    <w:rsid w:val="0018063A"/>
    <w:rsid w:val="00191262"/>
    <w:rsid w:val="001B39A7"/>
    <w:rsid w:val="001B4DF9"/>
    <w:rsid w:val="001C01D3"/>
    <w:rsid w:val="001C1B15"/>
    <w:rsid w:val="001C46B8"/>
    <w:rsid w:val="001C78BA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4FFD"/>
    <w:rsid w:val="00275E24"/>
    <w:rsid w:val="00287FFA"/>
    <w:rsid w:val="002A5093"/>
    <w:rsid w:val="002D45F0"/>
    <w:rsid w:val="002F4537"/>
    <w:rsid w:val="003168E0"/>
    <w:rsid w:val="00317FD4"/>
    <w:rsid w:val="00325868"/>
    <w:rsid w:val="003355AB"/>
    <w:rsid w:val="00352094"/>
    <w:rsid w:val="003668EC"/>
    <w:rsid w:val="00375925"/>
    <w:rsid w:val="00377F52"/>
    <w:rsid w:val="00394C40"/>
    <w:rsid w:val="003974A3"/>
    <w:rsid w:val="003E619E"/>
    <w:rsid w:val="00400296"/>
    <w:rsid w:val="00420D5B"/>
    <w:rsid w:val="00422154"/>
    <w:rsid w:val="00422CD3"/>
    <w:rsid w:val="00457774"/>
    <w:rsid w:val="00475B4D"/>
    <w:rsid w:val="00493DAE"/>
    <w:rsid w:val="004C0571"/>
    <w:rsid w:val="004E56B9"/>
    <w:rsid w:val="00523E38"/>
    <w:rsid w:val="00537BC8"/>
    <w:rsid w:val="0056022B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7320E"/>
    <w:rsid w:val="00776285"/>
    <w:rsid w:val="007904F6"/>
    <w:rsid w:val="007B6324"/>
    <w:rsid w:val="007C4819"/>
    <w:rsid w:val="007D7C1F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A31"/>
    <w:rsid w:val="0089414A"/>
    <w:rsid w:val="008A1129"/>
    <w:rsid w:val="008A71EB"/>
    <w:rsid w:val="008C3A1D"/>
    <w:rsid w:val="008E28DA"/>
    <w:rsid w:val="00927C3F"/>
    <w:rsid w:val="00965253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59F2"/>
    <w:rsid w:val="00BC6235"/>
    <w:rsid w:val="00BD482B"/>
    <w:rsid w:val="00C333D9"/>
    <w:rsid w:val="00C57A14"/>
    <w:rsid w:val="00C955F2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516A6"/>
    <w:rsid w:val="00D55792"/>
    <w:rsid w:val="00D65BC1"/>
    <w:rsid w:val="00D65CD3"/>
    <w:rsid w:val="00D81F9F"/>
    <w:rsid w:val="00D9156F"/>
    <w:rsid w:val="00DB63D9"/>
    <w:rsid w:val="00DC1AC7"/>
    <w:rsid w:val="00DC58A0"/>
    <w:rsid w:val="00DD3520"/>
    <w:rsid w:val="00DE1F01"/>
    <w:rsid w:val="00E05A3C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2025-06-23T03:24:00Z</cp:lastPrinted>
  <dcterms:created xsi:type="dcterms:W3CDTF">2025-09-11T06:35:00Z</dcterms:created>
  <dcterms:modified xsi:type="dcterms:W3CDTF">2025-09-11T06:35:00Z</dcterms:modified>
</cp:coreProperties>
</file>