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C7" w:rsidRDefault="00D84966" w:rsidP="009F071F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C62E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2D77C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</w:t>
      </w:r>
      <w:r w:rsidR="009F071F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/2024                          </w:t>
      </w:r>
      <w:r w:rsidR="009F071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Padang,</w:t>
      </w:r>
      <w:r>
        <w:rPr>
          <w:rFonts w:ascii="Arial" w:hAnsi="Arial" w:cs="Arial"/>
          <w:lang w:val="id-ID"/>
        </w:rPr>
        <w:t xml:space="preserve"> </w:t>
      </w:r>
      <w:r w:rsidR="00FF6E39">
        <w:rPr>
          <w:rFonts w:ascii="Arial" w:hAnsi="Arial" w:cs="Arial"/>
        </w:rPr>
        <w:t>10</w:t>
      </w:r>
      <w:r w:rsidR="009F071F">
        <w:rPr>
          <w:rFonts w:ascii="Arial" w:hAnsi="Arial" w:cs="Arial"/>
        </w:rPr>
        <w:t xml:space="preserve"> </w:t>
      </w:r>
      <w:proofErr w:type="spellStart"/>
      <w:r w:rsidR="009F071F">
        <w:rPr>
          <w:rFonts w:ascii="Arial" w:hAnsi="Arial" w:cs="Arial"/>
        </w:rPr>
        <w:t>Juni</w:t>
      </w:r>
      <w:proofErr w:type="spellEnd"/>
      <w:r w:rsidR="009F0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B028F6" w:rsidRDefault="00D84966" w:rsidP="002D77C5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 w:rsidR="00CD56DB">
        <w:rPr>
          <w:rFonts w:ascii="Arial" w:hAnsi="Arial" w:cs="Arial"/>
        </w:rPr>
        <w:t>Permohonan</w:t>
      </w:r>
      <w:proofErr w:type="spellEnd"/>
      <w:r w:rsidR="00CD56DB">
        <w:rPr>
          <w:rFonts w:ascii="Arial" w:hAnsi="Arial" w:cs="Arial"/>
        </w:rPr>
        <w:t xml:space="preserve"> </w:t>
      </w:r>
      <w:proofErr w:type="spellStart"/>
      <w:r w:rsidR="00CD56DB">
        <w:rPr>
          <w:rFonts w:ascii="Arial" w:hAnsi="Arial" w:cs="Arial"/>
        </w:rPr>
        <w:t>Usulan</w:t>
      </w:r>
      <w:proofErr w:type="spellEnd"/>
      <w:r w:rsidR="00CD56DB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ABT </w:t>
      </w:r>
      <w:proofErr w:type="spellStart"/>
      <w:r>
        <w:rPr>
          <w:rFonts w:ascii="Arial" w:hAnsi="Arial" w:cs="Arial"/>
          <w:bCs/>
        </w:rPr>
        <w:t>P</w:t>
      </w:r>
      <w:r w:rsidR="00B028F6">
        <w:rPr>
          <w:rFonts w:ascii="Arial" w:hAnsi="Arial" w:cs="Arial"/>
          <w:bCs/>
        </w:rPr>
        <w:t>engadilan</w:t>
      </w:r>
      <w:proofErr w:type="spellEnd"/>
      <w:r w:rsidR="00B028F6">
        <w:rPr>
          <w:rFonts w:ascii="Arial" w:hAnsi="Arial" w:cs="Arial"/>
          <w:bCs/>
        </w:rPr>
        <w:t xml:space="preserve"> Agama</w:t>
      </w:r>
      <w:r>
        <w:rPr>
          <w:rFonts w:ascii="Arial" w:hAnsi="Arial" w:cs="Arial"/>
          <w:bCs/>
        </w:rPr>
        <w:t xml:space="preserve"> </w:t>
      </w:r>
      <w:proofErr w:type="spellStart"/>
      <w:r w:rsidR="009F071F">
        <w:rPr>
          <w:rFonts w:ascii="Arial" w:hAnsi="Arial" w:cs="Arial"/>
          <w:bCs/>
        </w:rPr>
        <w:t>Painan</w:t>
      </w:r>
      <w:proofErr w:type="spellEnd"/>
    </w:p>
    <w:p w:rsidR="000756C7" w:rsidRDefault="00AF2FA9" w:rsidP="00B028F6">
      <w:pPr>
        <w:tabs>
          <w:tab w:val="left" w:pos="1148"/>
          <w:tab w:val="left" w:pos="1320"/>
        </w:tabs>
        <w:spacing w:line="288" w:lineRule="auto"/>
        <w:ind w:left="85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(</w:t>
      </w:r>
      <w:proofErr w:type="spellStart"/>
      <w:r w:rsidR="002D77C5">
        <w:rPr>
          <w:rFonts w:ascii="Arial" w:hAnsi="Arial" w:cs="Arial"/>
          <w:bCs/>
        </w:rPr>
        <w:t>Pengadaan</w:t>
      </w:r>
      <w:proofErr w:type="spellEnd"/>
      <w:r w:rsidR="002D77C5">
        <w:rPr>
          <w:rFonts w:ascii="Arial" w:hAnsi="Arial" w:cs="Arial"/>
          <w:bCs/>
        </w:rPr>
        <w:t xml:space="preserve"> Pos </w:t>
      </w:r>
      <w:proofErr w:type="spellStart"/>
      <w:r w:rsidR="002D77C5">
        <w:rPr>
          <w:rFonts w:ascii="Arial" w:hAnsi="Arial" w:cs="Arial"/>
          <w:bCs/>
        </w:rPr>
        <w:t>Satpam</w:t>
      </w:r>
      <w:proofErr w:type="spellEnd"/>
      <w:r w:rsidR="002D77C5">
        <w:rPr>
          <w:rFonts w:ascii="Arial" w:hAnsi="Arial" w:cs="Arial"/>
          <w:bCs/>
        </w:rPr>
        <w:t>)</w:t>
      </w: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6F246B" w:rsidRDefault="006F246B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B64937" w:rsidRDefault="00D84966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9F071F">
        <w:rPr>
          <w:rFonts w:ascii="Arial" w:hAnsi="Arial" w:cs="Arial"/>
          <w:bCs/>
        </w:rPr>
        <w:t>Perencanaan</w:t>
      </w:r>
      <w:proofErr w:type="spellEnd"/>
      <w:r w:rsidR="009F071F">
        <w:rPr>
          <w:rFonts w:ascii="Arial" w:hAnsi="Arial" w:cs="Arial"/>
          <w:bCs/>
        </w:rPr>
        <w:t xml:space="preserve"> </w:t>
      </w:r>
      <w:r w:rsidR="00190B08">
        <w:rPr>
          <w:rFonts w:ascii="Arial" w:hAnsi="Arial" w:cs="Arial"/>
          <w:bCs/>
        </w:rPr>
        <w:t xml:space="preserve">dan </w:t>
      </w:r>
      <w:proofErr w:type="spellStart"/>
      <w:r w:rsidR="00190B08">
        <w:rPr>
          <w:rFonts w:ascii="Arial" w:hAnsi="Arial" w:cs="Arial"/>
          <w:bCs/>
        </w:rPr>
        <w:t>Organisasi</w:t>
      </w:r>
      <w:proofErr w:type="spellEnd"/>
      <w:r w:rsidR="00190B08">
        <w:rPr>
          <w:rFonts w:ascii="Arial" w:hAnsi="Arial" w:cs="Arial"/>
          <w:bCs/>
        </w:rPr>
        <w:t xml:space="preserve"> </w:t>
      </w:r>
      <w:r w:rsidR="006D35D9">
        <w:rPr>
          <w:rFonts w:ascii="Arial" w:hAnsi="Arial" w:cs="Arial"/>
          <w:bCs/>
        </w:rPr>
        <w:t>BUA MA RI</w:t>
      </w:r>
    </w:p>
    <w:p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 </w:t>
      </w:r>
    </w:p>
    <w:p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Jakarta</w:t>
      </w:r>
    </w:p>
    <w:p w:rsidR="00D1533B" w:rsidRDefault="00D1533B" w:rsidP="00FF6E39">
      <w:pPr>
        <w:spacing w:line="360" w:lineRule="auto"/>
        <w:jc w:val="both"/>
        <w:rPr>
          <w:rFonts w:ascii="Arial" w:hAnsi="Arial" w:cs="Arial"/>
          <w:spacing w:val="-4"/>
        </w:rPr>
      </w:pPr>
    </w:p>
    <w:p w:rsidR="000756C7" w:rsidRDefault="00D84966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AF2FA9">
        <w:rPr>
          <w:rFonts w:ascii="Arial" w:hAnsi="Arial" w:cs="Arial"/>
          <w:spacing w:val="-4"/>
        </w:rPr>
        <w:t>Pa</w:t>
      </w:r>
      <w:r w:rsidR="00CB4CA1">
        <w:rPr>
          <w:rFonts w:ascii="Arial" w:hAnsi="Arial" w:cs="Arial"/>
          <w:spacing w:val="-4"/>
        </w:rPr>
        <w:t>inan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AF2FA9">
        <w:rPr>
          <w:rFonts w:ascii="Arial" w:hAnsi="Arial" w:cs="Arial"/>
          <w:spacing w:val="-4"/>
        </w:rPr>
        <w:t>8</w:t>
      </w:r>
      <w:r w:rsidR="009F071F">
        <w:rPr>
          <w:rFonts w:ascii="Arial" w:hAnsi="Arial" w:cs="Arial"/>
          <w:spacing w:val="-4"/>
        </w:rPr>
        <w:t>8</w:t>
      </w:r>
      <w:r w:rsidR="002D77C5">
        <w:rPr>
          <w:rFonts w:ascii="Arial" w:hAnsi="Arial" w:cs="Arial"/>
          <w:spacing w:val="-4"/>
        </w:rPr>
        <w:t>2</w:t>
      </w:r>
      <w:r>
        <w:rPr>
          <w:rFonts w:ascii="Arial" w:hAnsi="Arial" w:cs="Arial"/>
          <w:spacing w:val="-4"/>
          <w:lang w:val="id-ID"/>
        </w:rPr>
        <w:t>/</w:t>
      </w:r>
      <w:r w:rsidR="009F071F">
        <w:rPr>
          <w:rFonts w:ascii="Arial" w:hAnsi="Arial" w:cs="Arial"/>
          <w:spacing w:val="-4"/>
        </w:rPr>
        <w:t>KPA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>W3-A</w:t>
      </w:r>
      <w:r w:rsidR="009F071F">
        <w:rPr>
          <w:rFonts w:ascii="Arial" w:hAnsi="Arial" w:cs="Arial"/>
          <w:spacing w:val="-4"/>
        </w:rPr>
        <w:t>12</w:t>
      </w:r>
      <w:r>
        <w:rPr>
          <w:rFonts w:ascii="Arial" w:hAnsi="Arial" w:cs="Arial"/>
          <w:spacing w:val="-4"/>
        </w:rPr>
        <w:t>/</w:t>
      </w:r>
      <w:r w:rsidR="009F071F">
        <w:rPr>
          <w:rFonts w:ascii="Arial" w:hAnsi="Arial" w:cs="Arial"/>
          <w:spacing w:val="-4"/>
        </w:rPr>
        <w:t>PL1.2.1</w:t>
      </w:r>
      <w:r>
        <w:rPr>
          <w:rFonts w:ascii="Arial" w:hAnsi="Arial" w:cs="Arial"/>
          <w:spacing w:val="-4"/>
        </w:rPr>
        <w:t>/IV</w:t>
      </w:r>
      <w:r w:rsidR="009F071F"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4"/>
        </w:rPr>
        <w:t xml:space="preserve">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9F071F">
        <w:rPr>
          <w:rFonts w:ascii="Arial" w:hAnsi="Arial" w:cs="Arial"/>
          <w:spacing w:val="-4"/>
        </w:rPr>
        <w:t xml:space="preserve">7 </w:t>
      </w:r>
      <w:proofErr w:type="spellStart"/>
      <w:r w:rsidR="009F071F">
        <w:rPr>
          <w:rFonts w:ascii="Arial" w:hAnsi="Arial" w:cs="Arial"/>
          <w:spacing w:val="-4"/>
        </w:rPr>
        <w:t>Juni</w:t>
      </w:r>
      <w:proofErr w:type="spellEnd"/>
      <w:r w:rsidR="00AF2FA9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 w:rsidR="003A46DC">
        <w:rPr>
          <w:rFonts w:ascii="Arial" w:hAnsi="Arial" w:cs="Arial"/>
          <w:spacing w:val="-4"/>
        </w:rPr>
        <w:t>:</w:t>
      </w:r>
    </w:p>
    <w:p w:rsidR="009F071F" w:rsidRPr="002D77C5" w:rsidRDefault="002D77C5" w:rsidP="00C76D43">
      <w:pPr>
        <w:pStyle w:val="ListParagraph"/>
        <w:ind w:left="142"/>
      </w:pPr>
      <w:r>
        <w:rPr>
          <w:lang w:val="ms-MY"/>
        </w:rPr>
        <w:t xml:space="preserve">Pengadilan Agama Painan saat ini tidak  mempunyai pos satpam sebagai tempat pengawasan keamanan gedung kantor, barang milik negara, pegawai maupun para pihak yang mengunjungi kantor Pengadilan Agama Painan. </w:t>
      </w:r>
    </w:p>
    <w:p w:rsidR="002D77C5" w:rsidRPr="009F071F" w:rsidRDefault="002D77C5" w:rsidP="00C76D43">
      <w:pPr>
        <w:pStyle w:val="ListParagraph"/>
        <w:ind w:left="142"/>
      </w:pPr>
      <w:r>
        <w:t xml:space="preserve">Pembangunan </w:t>
      </w:r>
      <w:r w:rsidR="00A531E8">
        <w:t>p</w:t>
      </w:r>
      <w:r>
        <w:t xml:space="preserve">os </w:t>
      </w:r>
      <w:proofErr w:type="spellStart"/>
      <w:r w:rsidR="00A531E8">
        <w:t>s</w:t>
      </w:r>
      <w:r>
        <w:t>atpam</w:t>
      </w:r>
      <w:proofErr w:type="spellEnd"/>
      <w:r>
        <w:t xml:space="preserve"> pada </w:t>
      </w:r>
      <w:proofErr w:type="spellStart"/>
      <w:r>
        <w:t>gerbang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satpam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,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negara,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para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mengunjungi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 w:rsidR="00A531E8">
        <w:t>Pengadilan</w:t>
      </w:r>
      <w:proofErr w:type="spellEnd"/>
      <w:r w:rsidR="00A531E8">
        <w:t xml:space="preserve"> Agama </w:t>
      </w:r>
      <w:proofErr w:type="spellStart"/>
      <w:r w:rsidR="00A531E8">
        <w:t>Painan</w:t>
      </w:r>
      <w:proofErr w:type="spellEnd"/>
      <w:r w:rsidR="00A531E8">
        <w:t>.</w:t>
      </w:r>
    </w:p>
    <w:p w:rsidR="00D1533B" w:rsidRDefault="00D1533B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</w:p>
    <w:p w:rsidR="00C63B45" w:rsidRDefault="00D84966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 w:rsidR="00BE1732">
        <w:rPr>
          <w:rFonts w:ascii="Arial" w:hAnsi="Arial" w:cs="Arial"/>
          <w:spacing w:val="-4"/>
        </w:rPr>
        <w:t>:</w:t>
      </w:r>
    </w:p>
    <w:tbl>
      <w:tblPr>
        <w:tblW w:w="9645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016"/>
        <w:gridCol w:w="888"/>
        <w:gridCol w:w="888"/>
        <w:gridCol w:w="1094"/>
        <w:gridCol w:w="1087"/>
      </w:tblGrid>
      <w:tr w:rsidR="009405A1" w:rsidTr="00C76D43">
        <w:trPr>
          <w:trHeight w:val="515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 w:line="254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 w:line="254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094" w:type="dxa"/>
            <w:tcBorders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spacing w:before="78" w:line="254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7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303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9405A1" w:rsidTr="00C76D43">
        <w:trPr>
          <w:trHeight w:val="332"/>
        </w:trPr>
        <w:tc>
          <w:tcPr>
            <w:tcW w:w="1672" w:type="dxa"/>
          </w:tcPr>
          <w:p w:rsidR="009405A1" w:rsidRDefault="009405A1" w:rsidP="00A531E8">
            <w:pPr>
              <w:pStyle w:val="TableParagraph"/>
              <w:spacing w:before="80"/>
              <w:rPr>
                <w:sz w:val="15"/>
              </w:rPr>
            </w:pP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80"/>
              <w:ind w:left="131"/>
              <w:rPr>
                <w:sz w:val="15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top w:val="nil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C76D43">
        <w:trPr>
          <w:trHeight w:val="517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9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282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80" w:line="252" w:lineRule="auto"/>
              <w:ind w:left="131" w:right="122"/>
              <w:rPr>
                <w:sz w:val="15"/>
              </w:rPr>
            </w:pPr>
            <w:r>
              <w:rPr>
                <w:sz w:val="15"/>
              </w:rPr>
              <w:t>Pengadaan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Lingkungan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9405A1" w:rsidRPr="00885D6E" w:rsidRDefault="00885D6E" w:rsidP="006F246B">
            <w:pPr>
              <w:pStyle w:val="TableParagraph"/>
              <w:jc w:val="center"/>
              <w:rPr>
                <w:sz w:val="15"/>
                <w:szCs w:val="15"/>
              </w:rPr>
            </w:pPr>
            <w:r w:rsidRPr="00885D6E">
              <w:rPr>
                <w:sz w:val="15"/>
                <w:szCs w:val="15"/>
              </w:rPr>
              <w:t>6</w:t>
            </w:r>
          </w:p>
        </w:tc>
        <w:tc>
          <w:tcPr>
            <w:tcW w:w="888" w:type="dxa"/>
          </w:tcPr>
          <w:p w:rsidR="009405A1" w:rsidRPr="00885D6E" w:rsidRDefault="006F246B" w:rsidP="006F246B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m²</w:t>
            </w:r>
          </w:p>
        </w:tc>
        <w:tc>
          <w:tcPr>
            <w:tcW w:w="1094" w:type="dxa"/>
          </w:tcPr>
          <w:p w:rsidR="009405A1" w:rsidRPr="00885D6E" w:rsidRDefault="009405A1" w:rsidP="0047535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87" w:type="dxa"/>
          </w:tcPr>
          <w:p w:rsidR="009405A1" w:rsidRPr="00885D6E" w:rsidRDefault="00885D6E" w:rsidP="0047535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</w:t>
            </w:r>
            <w:r w:rsidRPr="00885D6E">
              <w:rPr>
                <w:sz w:val="15"/>
                <w:szCs w:val="15"/>
              </w:rPr>
              <w:t>38.720.000</w:t>
            </w:r>
          </w:p>
        </w:tc>
      </w:tr>
      <w:tr w:rsidR="009405A1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 w:rsidR="00A531E8">
              <w:rPr>
                <w:sz w:val="15"/>
              </w:rPr>
              <w:t xml:space="preserve"> Sarana dan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C76D43">
        <w:trPr>
          <w:trHeight w:val="332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  <w:r w:rsidR="00A531E8">
              <w:rPr>
                <w:sz w:val="15"/>
              </w:rPr>
              <w:t>1</w:t>
            </w:r>
          </w:p>
        </w:tc>
        <w:tc>
          <w:tcPr>
            <w:tcW w:w="4016" w:type="dxa"/>
          </w:tcPr>
          <w:p w:rsidR="009405A1" w:rsidRDefault="00A531E8" w:rsidP="00475350">
            <w:pPr>
              <w:pStyle w:val="TableParagraph"/>
              <w:spacing w:before="78"/>
              <w:ind w:left="130"/>
              <w:rPr>
                <w:sz w:val="15"/>
              </w:rPr>
            </w:pPr>
            <w:r>
              <w:rPr>
                <w:sz w:val="15"/>
              </w:rPr>
              <w:t xml:space="preserve">Pembangunan  / Renovasi Gedung dan Bangunan 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4016" w:type="dxa"/>
          </w:tcPr>
          <w:p w:rsidR="009405A1" w:rsidRDefault="00A531E8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Renovasi Pos Satpam 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 w:rsidR="00A531E8">
              <w:rPr>
                <w:sz w:val="15"/>
              </w:rPr>
              <w:t>3121</w:t>
            </w:r>
          </w:p>
        </w:tc>
        <w:tc>
          <w:tcPr>
            <w:tcW w:w="4016" w:type="dxa"/>
          </w:tcPr>
          <w:p w:rsidR="009405A1" w:rsidRDefault="00C76D43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Belanja </w:t>
            </w:r>
            <w:r w:rsidR="00A531E8">
              <w:rPr>
                <w:sz w:val="15"/>
              </w:rPr>
              <w:t xml:space="preserve">Penambahan Nilai Gedung dan Bangunan 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9405A1" w:rsidRDefault="00A531E8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Biaya Kontruk</w:t>
            </w:r>
            <w:r w:rsidR="00885D6E">
              <w:rPr>
                <w:sz w:val="15"/>
              </w:rPr>
              <w:t xml:space="preserve">si Fisik </w:t>
            </w:r>
          </w:p>
        </w:tc>
        <w:tc>
          <w:tcPr>
            <w:tcW w:w="888" w:type="dxa"/>
          </w:tcPr>
          <w:p w:rsidR="009405A1" w:rsidRDefault="00885D6E" w:rsidP="00475350">
            <w:pPr>
              <w:pStyle w:val="TableParagraph"/>
              <w:spacing w:before="78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888" w:type="dxa"/>
          </w:tcPr>
          <w:p w:rsidR="009405A1" w:rsidRDefault="006F246B" w:rsidP="006F246B">
            <w:pPr>
              <w:pStyle w:val="TableParagraph"/>
              <w:spacing w:before="78"/>
              <w:ind w:right="236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m²</w:t>
            </w:r>
          </w:p>
        </w:tc>
        <w:tc>
          <w:tcPr>
            <w:tcW w:w="1094" w:type="dxa"/>
          </w:tcPr>
          <w:p w:rsidR="009405A1" w:rsidRDefault="00885D6E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5.333.333</w:t>
            </w:r>
          </w:p>
        </w:tc>
        <w:tc>
          <w:tcPr>
            <w:tcW w:w="1087" w:type="dxa"/>
          </w:tcPr>
          <w:p w:rsidR="009405A1" w:rsidRDefault="00885D6E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32.000.000</w:t>
            </w:r>
          </w:p>
        </w:tc>
      </w:tr>
      <w:tr w:rsidR="00885D6E" w:rsidTr="00C76D43">
        <w:trPr>
          <w:trHeight w:val="333"/>
        </w:trPr>
        <w:tc>
          <w:tcPr>
            <w:tcW w:w="1672" w:type="dxa"/>
          </w:tcPr>
          <w:p w:rsidR="00885D6E" w:rsidRDefault="00885D6E" w:rsidP="00475350">
            <w:pPr>
              <w:pStyle w:val="TableParagraph"/>
              <w:rPr>
                <w:rFonts w:ascii="Times New Roman"/>
                <w:sz w:val="18"/>
              </w:rPr>
            </w:pPr>
          </w:p>
          <w:p w:rsidR="00885D6E" w:rsidRDefault="00885D6E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885D6E" w:rsidRDefault="00885D6E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Biaya Perencanaan Kontruksi </w:t>
            </w:r>
          </w:p>
        </w:tc>
        <w:tc>
          <w:tcPr>
            <w:tcW w:w="888" w:type="dxa"/>
          </w:tcPr>
          <w:p w:rsidR="00885D6E" w:rsidRDefault="00885D6E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885D6E" w:rsidRDefault="00885D6E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885D6E" w:rsidRDefault="00885D6E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087" w:type="dxa"/>
          </w:tcPr>
          <w:p w:rsidR="00885D6E" w:rsidRDefault="00885D6E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2.560.000</w:t>
            </w:r>
          </w:p>
        </w:tc>
      </w:tr>
      <w:tr w:rsidR="00885D6E" w:rsidTr="00C76D43">
        <w:trPr>
          <w:trHeight w:val="333"/>
        </w:trPr>
        <w:tc>
          <w:tcPr>
            <w:tcW w:w="1672" w:type="dxa"/>
          </w:tcPr>
          <w:p w:rsidR="00885D6E" w:rsidRDefault="00885D6E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885D6E" w:rsidRDefault="00885D6E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Baiya Pengawasan Kontruksi </w:t>
            </w:r>
          </w:p>
        </w:tc>
        <w:tc>
          <w:tcPr>
            <w:tcW w:w="888" w:type="dxa"/>
          </w:tcPr>
          <w:p w:rsidR="00885D6E" w:rsidRDefault="00885D6E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885D6E" w:rsidRDefault="00885D6E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885D6E" w:rsidRDefault="00885D6E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087" w:type="dxa"/>
          </w:tcPr>
          <w:p w:rsidR="00885D6E" w:rsidRDefault="00885D6E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1.920.000</w:t>
            </w:r>
          </w:p>
        </w:tc>
      </w:tr>
      <w:tr w:rsidR="00885D6E" w:rsidTr="00C76D43">
        <w:trPr>
          <w:trHeight w:val="333"/>
        </w:trPr>
        <w:tc>
          <w:tcPr>
            <w:tcW w:w="1672" w:type="dxa"/>
          </w:tcPr>
          <w:p w:rsidR="00885D6E" w:rsidRDefault="00885D6E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885D6E" w:rsidRDefault="006F246B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Biaya Pengelola Kegiatan </w:t>
            </w:r>
            <w:bookmarkStart w:id="0" w:name="_GoBack"/>
            <w:bookmarkEnd w:id="0"/>
          </w:p>
        </w:tc>
        <w:tc>
          <w:tcPr>
            <w:tcW w:w="888" w:type="dxa"/>
          </w:tcPr>
          <w:p w:rsidR="00885D6E" w:rsidRDefault="00885D6E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885D6E" w:rsidRDefault="00885D6E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885D6E" w:rsidRDefault="00885D6E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087" w:type="dxa"/>
          </w:tcPr>
          <w:p w:rsidR="00885D6E" w:rsidRDefault="00885D6E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2.240.000</w:t>
            </w:r>
          </w:p>
        </w:tc>
      </w:tr>
    </w:tbl>
    <w:p w:rsidR="00D1533B" w:rsidRPr="00885D6E" w:rsidRDefault="00D84966" w:rsidP="00885D6E">
      <w:pPr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</w:t>
      </w:r>
    </w:p>
    <w:p w:rsidR="00D1533B" w:rsidRDefault="00D1533B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:rsidR="00D1533B" w:rsidRDefault="00D1533B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:rsidR="000756C7" w:rsidRDefault="00D84966" w:rsidP="00C76D43">
      <w:pPr>
        <w:ind w:left="-48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</w:p>
    <w:p w:rsidR="00C76D43" w:rsidRDefault="00C76D43" w:rsidP="00C76D43">
      <w:pPr>
        <w:ind w:left="-480"/>
        <w:jc w:val="both"/>
        <w:rPr>
          <w:rFonts w:ascii="Arial" w:hAnsi="Arial" w:cs="Arial"/>
        </w:rPr>
      </w:pPr>
    </w:p>
    <w:p w:rsidR="00C37DE4" w:rsidRDefault="00C37DE4">
      <w:pPr>
        <w:ind w:left="5103"/>
        <w:jc w:val="both"/>
        <w:rPr>
          <w:rFonts w:ascii="Arial" w:hAnsi="Arial" w:cs="Arial"/>
        </w:rPr>
      </w:pP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</w:t>
      </w:r>
      <w:r w:rsidR="004B3913">
        <w:rPr>
          <w:rFonts w:ascii="Arial" w:hAnsi="Arial" w:cs="Arial"/>
        </w:rPr>
        <w:t>t</w:t>
      </w:r>
      <w:proofErr w:type="spellEnd"/>
      <w:r w:rsidR="004B39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0756C7" w:rsidRDefault="00452F21">
      <w:pPr>
        <w:ind w:left="5103"/>
        <w:jc w:val="both"/>
        <w:rPr>
          <w:rFonts w:ascii="Arial" w:hAnsi="Arial" w:cs="Arial"/>
          <w:spacing w:val="-4"/>
        </w:rPr>
      </w:pPr>
      <w:r w:rsidRPr="00FF6E39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46990</wp:posOffset>
            </wp:positionV>
            <wp:extent cx="1938291" cy="984148"/>
            <wp:effectExtent l="0" t="0" r="0" b="6985"/>
            <wp:wrapNone/>
            <wp:docPr id="6" name="Picture 6" descr="C:\Users\PTA Padang\Downloads\pak ismai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A Padang\Downloads\pak ismail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91" cy="98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84966">
        <w:rPr>
          <w:rFonts w:ascii="Arial" w:hAnsi="Arial" w:cs="Arial"/>
        </w:rPr>
        <w:t>Pengadilan</w:t>
      </w:r>
      <w:proofErr w:type="spellEnd"/>
      <w:r w:rsidR="00D84966">
        <w:rPr>
          <w:rFonts w:ascii="Arial" w:hAnsi="Arial" w:cs="Arial"/>
        </w:rPr>
        <w:t xml:space="preserve"> Tinggi Agama Padang</w:t>
      </w:r>
    </w:p>
    <w:p w:rsidR="000756C7" w:rsidRDefault="000756C7">
      <w:pPr>
        <w:ind w:left="5387"/>
        <w:jc w:val="both"/>
        <w:rPr>
          <w:rFonts w:ascii="Arial" w:hAnsi="Arial" w:cs="Arial"/>
          <w:b/>
        </w:rPr>
      </w:pPr>
    </w:p>
    <w:p w:rsidR="000756C7" w:rsidRDefault="000756C7" w:rsidP="00FF6E39">
      <w:pPr>
        <w:tabs>
          <w:tab w:val="left" w:pos="6840"/>
        </w:tabs>
        <w:ind w:left="4820"/>
        <w:jc w:val="both"/>
        <w:rPr>
          <w:rFonts w:ascii="Arial" w:hAnsi="Arial" w:cs="Arial"/>
        </w:rPr>
      </w:pPr>
    </w:p>
    <w:p w:rsidR="00452F21" w:rsidRDefault="00452F21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52F21" w:rsidRDefault="00452F21">
      <w:pPr>
        <w:ind w:left="5103"/>
        <w:rPr>
          <w:rFonts w:ascii="Arial" w:hAnsi="Arial" w:cs="Arial"/>
        </w:rPr>
      </w:pPr>
    </w:p>
    <w:p w:rsidR="00C76D43" w:rsidRDefault="00452F21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Ismail</w:t>
      </w:r>
      <w:r w:rsidR="00C76D43">
        <w:rPr>
          <w:rFonts w:ascii="Arial" w:hAnsi="Arial" w:cs="Arial"/>
        </w:rPr>
        <w:t xml:space="preserve">  </w:t>
      </w:r>
    </w:p>
    <w:p w:rsidR="000756C7" w:rsidRDefault="00C76D43" w:rsidP="00C76D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D1533B" w:rsidRDefault="00D1533B">
      <w:pPr>
        <w:jc w:val="both"/>
        <w:rPr>
          <w:rFonts w:ascii="Arial" w:hAnsi="Arial" w:cs="Arial"/>
        </w:rPr>
      </w:pPr>
    </w:p>
    <w:p w:rsidR="00376263" w:rsidRDefault="00376263">
      <w:pPr>
        <w:jc w:val="both"/>
        <w:rPr>
          <w:rFonts w:ascii="Arial" w:hAnsi="Arial" w:cs="Arial"/>
        </w:rPr>
      </w:pPr>
    </w:p>
    <w:p w:rsidR="00D1533B" w:rsidRDefault="00D1533B" w:rsidP="00D1533B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Mahakamah</w:t>
      </w:r>
      <w:proofErr w:type="spellEnd"/>
      <w:r>
        <w:t xml:space="preserve"> Agung;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Keuangan</w:t>
      </w:r>
      <w:proofErr w:type="spellEnd"/>
      <w:r>
        <w:t>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dan 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Painan</w:t>
      </w:r>
      <w:proofErr w:type="spellEnd"/>
      <w:r>
        <w:t>.</w:t>
      </w:r>
    </w:p>
    <w:p w:rsidR="00D1533B" w:rsidRDefault="00D1533B" w:rsidP="00D1533B">
      <w:pPr>
        <w:ind w:leftChars="-149" w:left="-358"/>
        <w:jc w:val="both"/>
        <w:rPr>
          <w:rFonts w:ascii="Arial" w:hAnsi="Arial" w:cs="Arial"/>
          <w:lang w:val="id-ID"/>
        </w:rPr>
      </w:pPr>
    </w:p>
    <w:p w:rsidR="000756C7" w:rsidRDefault="000756C7" w:rsidP="00D1533B">
      <w:pPr>
        <w:ind w:left="-567" w:hanging="67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rPr>
          <w:rFonts w:ascii="Arial" w:hAnsi="Arial" w:cs="Arial"/>
        </w:rPr>
      </w:pPr>
    </w:p>
    <w:sectPr w:rsidR="000756C7" w:rsidSect="00C37DE4">
      <w:pgSz w:w="11906" w:h="16838"/>
      <w:pgMar w:top="1134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5A1" w:rsidRDefault="009405A1" w:rsidP="009405A1">
      <w:r>
        <w:separator/>
      </w:r>
    </w:p>
  </w:endnote>
  <w:endnote w:type="continuationSeparator" w:id="0">
    <w:p w:rsidR="009405A1" w:rsidRDefault="009405A1" w:rsidP="0094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5A1" w:rsidRDefault="009405A1" w:rsidP="009405A1">
      <w:r>
        <w:separator/>
      </w:r>
    </w:p>
  </w:footnote>
  <w:footnote w:type="continuationSeparator" w:id="0">
    <w:p w:rsidR="009405A1" w:rsidRDefault="009405A1" w:rsidP="0094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50F76530"/>
    <w:multiLevelType w:val="multilevel"/>
    <w:tmpl w:val="50F76530"/>
    <w:lvl w:ilvl="0">
      <w:start w:val="1"/>
      <w:numFmt w:val="decimal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abstractNum w:abstractNumId="3" w15:restartNumberingAfterBreak="0">
    <w:nsid w:val="61DE440D"/>
    <w:multiLevelType w:val="hybridMultilevel"/>
    <w:tmpl w:val="6414C5C8"/>
    <w:lvl w:ilvl="0" w:tplc="148811E6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4B53"/>
    <w:rsid w:val="0016392B"/>
    <w:rsid w:val="00177432"/>
    <w:rsid w:val="00190B08"/>
    <w:rsid w:val="001B5704"/>
    <w:rsid w:val="001B6AA0"/>
    <w:rsid w:val="001D7D9C"/>
    <w:rsid w:val="001E7D4B"/>
    <w:rsid w:val="00217313"/>
    <w:rsid w:val="00266C4F"/>
    <w:rsid w:val="00272D6C"/>
    <w:rsid w:val="002A2968"/>
    <w:rsid w:val="002B033E"/>
    <w:rsid w:val="002B2313"/>
    <w:rsid w:val="002D2538"/>
    <w:rsid w:val="002D77C5"/>
    <w:rsid w:val="002F122D"/>
    <w:rsid w:val="00302C94"/>
    <w:rsid w:val="00315106"/>
    <w:rsid w:val="003248FF"/>
    <w:rsid w:val="00343214"/>
    <w:rsid w:val="00354709"/>
    <w:rsid w:val="003557EE"/>
    <w:rsid w:val="00376263"/>
    <w:rsid w:val="003A46DC"/>
    <w:rsid w:val="003A6CCC"/>
    <w:rsid w:val="003C63B4"/>
    <w:rsid w:val="003F22EC"/>
    <w:rsid w:val="00412E44"/>
    <w:rsid w:val="00412EA5"/>
    <w:rsid w:val="004136FC"/>
    <w:rsid w:val="0044430F"/>
    <w:rsid w:val="00452F21"/>
    <w:rsid w:val="00472459"/>
    <w:rsid w:val="004B3913"/>
    <w:rsid w:val="004F658F"/>
    <w:rsid w:val="00523449"/>
    <w:rsid w:val="005320D5"/>
    <w:rsid w:val="00545591"/>
    <w:rsid w:val="005B3850"/>
    <w:rsid w:val="005D6231"/>
    <w:rsid w:val="00683AAE"/>
    <w:rsid w:val="006B235E"/>
    <w:rsid w:val="006D35D9"/>
    <w:rsid w:val="006E6376"/>
    <w:rsid w:val="006F246B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85D6E"/>
    <w:rsid w:val="008F5E00"/>
    <w:rsid w:val="00917D0A"/>
    <w:rsid w:val="00923CDA"/>
    <w:rsid w:val="009405A1"/>
    <w:rsid w:val="009F071F"/>
    <w:rsid w:val="00A14539"/>
    <w:rsid w:val="00A32404"/>
    <w:rsid w:val="00A36135"/>
    <w:rsid w:val="00A45C78"/>
    <w:rsid w:val="00A531E8"/>
    <w:rsid w:val="00AC0108"/>
    <w:rsid w:val="00AC671A"/>
    <w:rsid w:val="00AD66FD"/>
    <w:rsid w:val="00AE00D3"/>
    <w:rsid w:val="00AF2FA9"/>
    <w:rsid w:val="00B028F6"/>
    <w:rsid w:val="00B11464"/>
    <w:rsid w:val="00B64937"/>
    <w:rsid w:val="00B70D57"/>
    <w:rsid w:val="00B723DF"/>
    <w:rsid w:val="00B77BD4"/>
    <w:rsid w:val="00BE1732"/>
    <w:rsid w:val="00BF5F9A"/>
    <w:rsid w:val="00C15574"/>
    <w:rsid w:val="00C347CA"/>
    <w:rsid w:val="00C37DE4"/>
    <w:rsid w:val="00C63B45"/>
    <w:rsid w:val="00C76D43"/>
    <w:rsid w:val="00CA4AB3"/>
    <w:rsid w:val="00CB4CA1"/>
    <w:rsid w:val="00CD56DB"/>
    <w:rsid w:val="00CE275F"/>
    <w:rsid w:val="00CE7F87"/>
    <w:rsid w:val="00D1533B"/>
    <w:rsid w:val="00D246C8"/>
    <w:rsid w:val="00D35FAE"/>
    <w:rsid w:val="00D534F9"/>
    <w:rsid w:val="00D57F3D"/>
    <w:rsid w:val="00D772CD"/>
    <w:rsid w:val="00D84966"/>
    <w:rsid w:val="00D87C95"/>
    <w:rsid w:val="00D9144F"/>
    <w:rsid w:val="00D95CF8"/>
    <w:rsid w:val="00DD690B"/>
    <w:rsid w:val="00DE6AEC"/>
    <w:rsid w:val="00E71433"/>
    <w:rsid w:val="00E92314"/>
    <w:rsid w:val="00EE074E"/>
    <w:rsid w:val="00EF7837"/>
    <w:rsid w:val="00F21A45"/>
    <w:rsid w:val="00F574A0"/>
    <w:rsid w:val="00F97ABA"/>
    <w:rsid w:val="00FB3FDC"/>
    <w:rsid w:val="00FE5CFE"/>
    <w:rsid w:val="00FF6E39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4739A1"/>
  <w15:docId w15:val="{BF1B7032-E21D-4ED4-B325-6B2D82B3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rsid w:val="00D534F9"/>
    <w:pPr>
      <w:numPr>
        <w:numId w:val="3"/>
      </w:numPr>
      <w:spacing w:line="360" w:lineRule="auto"/>
      <w:contextualSpacing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405A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  <w:style w:type="character" w:styleId="PlaceholderText">
    <w:name w:val="Placeholder Text"/>
    <w:basedOn w:val="DefaultParagraphFont"/>
    <w:uiPriority w:val="99"/>
    <w:semiHidden/>
    <w:rsid w:val="006F24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ta-padang.go.i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957E06-39BA-41EB-8C24-2C634867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38</cp:revision>
  <cp:lastPrinted>2024-07-10T02:10:00Z</cp:lastPrinted>
  <dcterms:created xsi:type="dcterms:W3CDTF">2023-09-27T02:39:00Z</dcterms:created>
  <dcterms:modified xsi:type="dcterms:W3CDTF">2024-07-10T03:23:00Z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