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214F" w14:textId="6B0B56F7" w:rsidR="00515355" w:rsidRDefault="00515355" w:rsidP="00515355">
      <w:bookmarkStart w:id="0" w:name="_Hlk143508210"/>
    </w:p>
    <w:p w14:paraId="3635B7BB" w14:textId="6FCEC802" w:rsidR="00515355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bookmarkEnd w:id="0"/>
    <w:p w14:paraId="6E7E6D88" w14:textId="77777777" w:rsidR="00580C51" w:rsidRP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1" w:name="_Hlk143262421"/>
      <w:r w:rsidRPr="00FF6877">
        <w:rPr>
          <w:rFonts w:ascii="Bookman Old Style" w:hAnsi="Bookman Old Style"/>
          <w:b/>
        </w:rPr>
        <w:t>SURAT TUGAS</w:t>
      </w:r>
    </w:p>
    <w:bookmarkEnd w:id="1"/>
    <w:p w14:paraId="187932EB" w14:textId="02A8610D" w:rsidR="00CA51AB" w:rsidRPr="00515355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W3-A/</w:t>
      </w:r>
      <w:r w:rsidR="008E0F47">
        <w:rPr>
          <w:rFonts w:ascii="Bookman Old Style" w:hAnsi="Bookman Old Style"/>
          <w:b/>
          <w:sz w:val="22"/>
          <w:szCs w:val="22"/>
        </w:rPr>
        <w:t xml:space="preserve">   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/P</w:t>
      </w:r>
      <w:r w:rsidR="0069633A">
        <w:rPr>
          <w:rFonts w:ascii="Bookman Old Style" w:hAnsi="Bookman Old Style"/>
          <w:b/>
          <w:sz w:val="22"/>
          <w:szCs w:val="22"/>
        </w:rPr>
        <w:t>L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.00/VIII/2023</w:t>
      </w:r>
    </w:p>
    <w:p w14:paraId="2D8379AF" w14:textId="777B40AC" w:rsidR="00227122" w:rsidRPr="00580C51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580C51" w14:paraId="1F6E0C3B" w14:textId="77777777" w:rsidTr="00A771A1">
        <w:tc>
          <w:tcPr>
            <w:tcW w:w="1560" w:type="dxa"/>
          </w:tcPr>
          <w:p w14:paraId="2F7C1AA1" w14:textId="0644A57E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46987378" w14:textId="77777777" w:rsidR="00B464D7" w:rsidRDefault="00AB16CE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bahwa </w:t>
            </w:r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Biro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Organisasi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akan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melaksanakan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Rapat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Agung dan Badan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proofErr w:type="spellStart"/>
            <w:r w:rsidR="004B6831">
              <w:rPr>
                <w:rFonts w:ascii="Bookman Old Style" w:hAnsi="Bookman Old Style"/>
                <w:sz w:val="21"/>
                <w:szCs w:val="21"/>
              </w:rPr>
              <w:t>bawahnya</w:t>
            </w:r>
            <w:proofErr w:type="spellEnd"/>
            <w:r w:rsidR="004B6831">
              <w:rPr>
                <w:rFonts w:ascii="Bookman Old Style" w:hAnsi="Bookman Old Style"/>
                <w:sz w:val="21"/>
                <w:szCs w:val="21"/>
              </w:rPr>
              <w:t xml:space="preserve"> TA 202</w:t>
            </w:r>
            <w:r w:rsidR="007F7541">
              <w:rPr>
                <w:rFonts w:ascii="Bookman Old Style" w:hAnsi="Bookman Old Style"/>
                <w:sz w:val="21"/>
                <w:szCs w:val="21"/>
              </w:rPr>
              <w:t>4</w:t>
            </w:r>
            <w:r w:rsidR="008E0F47">
              <w:rPr>
                <w:rFonts w:ascii="Bookman Old Style" w:hAnsi="Bookman Old Style"/>
                <w:sz w:val="21"/>
                <w:szCs w:val="21"/>
              </w:rPr>
              <w:t xml:space="preserve"> yang </w:t>
            </w:r>
            <w:proofErr w:type="spellStart"/>
            <w:r w:rsidR="008E0F47">
              <w:rPr>
                <w:rFonts w:ascii="Bookman Old Style" w:hAnsi="Bookman Old Style"/>
                <w:sz w:val="21"/>
                <w:szCs w:val="21"/>
              </w:rPr>
              <w:t>diikuti</w:t>
            </w:r>
            <w:proofErr w:type="spellEnd"/>
            <w:r w:rsidR="008E0F4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8E0F47">
              <w:rPr>
                <w:rFonts w:ascii="Bookman Old Style" w:hAnsi="Bookman Old Style"/>
                <w:sz w:val="21"/>
                <w:szCs w:val="21"/>
              </w:rPr>
              <w:t>antara</w:t>
            </w:r>
            <w:proofErr w:type="spellEnd"/>
            <w:r w:rsidR="008E0F47">
              <w:rPr>
                <w:rFonts w:ascii="Bookman Old Style" w:hAnsi="Bookman Old Style"/>
                <w:sz w:val="21"/>
                <w:szCs w:val="21"/>
              </w:rPr>
              <w:t xml:space="preserve"> lain oleh </w:t>
            </w:r>
            <w:proofErr w:type="spellStart"/>
            <w:r w:rsidR="008E0F47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8E0F47">
              <w:rPr>
                <w:rFonts w:ascii="Bookman Old Style" w:hAnsi="Bookman Old Style"/>
                <w:sz w:val="21"/>
                <w:szCs w:val="21"/>
              </w:rPr>
              <w:t xml:space="preserve"> Tinggi Agama Padang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; </w:t>
            </w:r>
          </w:p>
          <w:p w14:paraId="58A05B99" w14:textId="7B1C6EA5" w:rsidR="008E0F47" w:rsidRPr="008E0F47" w:rsidRDefault="008E0F47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13"/>
                <w:szCs w:val="13"/>
                <w:lang w:val="id-ID"/>
              </w:rPr>
            </w:pPr>
          </w:p>
        </w:tc>
      </w:tr>
      <w:tr w:rsidR="00DC1AC7" w:rsidRPr="00580C51" w14:paraId="33B34F2B" w14:textId="77777777" w:rsidTr="00A771A1">
        <w:tc>
          <w:tcPr>
            <w:tcW w:w="1560" w:type="dxa"/>
          </w:tcPr>
          <w:p w14:paraId="5BD807CD" w14:textId="7D64A7A8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7116"/>
            </w:tblGrid>
            <w:tr w:rsidR="00EF368E" w:rsidRPr="00580C51" w14:paraId="0FE26F28" w14:textId="77777777" w:rsidTr="00515355">
              <w:tc>
                <w:tcPr>
                  <w:tcW w:w="460" w:type="dxa"/>
                </w:tcPr>
                <w:p w14:paraId="73C29ABD" w14:textId="2F58B45F" w:rsidR="00EF368E" w:rsidRPr="00580C51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16" w:type="dxa"/>
                </w:tcPr>
                <w:p w14:paraId="0BB73E6C" w14:textId="44823352" w:rsidR="00EF368E" w:rsidRPr="00580C51" w:rsidRDefault="00F36357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Pelaksana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Harian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Sekretaris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Agung RI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1435/SEK/UND.RA.1.7/VIII/2023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anggal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15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Agustus 2023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hal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Undangan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Rapat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Koordinasi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Penyusunan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Rencana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Kerja</w:t>
                  </w:r>
                  <w:proofErr w:type="spellEnd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dan </w:t>
                  </w:r>
                  <w:proofErr w:type="spellStart"/>
                  <w:r w:rsidR="004B6831">
                    <w:rPr>
                      <w:rFonts w:ascii="Bookman Old Style" w:hAnsi="Bookman Old Style"/>
                      <w:sz w:val="21"/>
                      <w:szCs w:val="21"/>
                    </w:rPr>
                    <w:t>Anggaran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7F7541">
                    <w:rPr>
                      <w:rFonts w:ascii="Bookman Old Style" w:hAnsi="Bookman Old Style"/>
                      <w:sz w:val="21"/>
                      <w:szCs w:val="21"/>
                    </w:rPr>
                    <w:t>Mahkamah</w:t>
                  </w:r>
                  <w:proofErr w:type="spellEnd"/>
                  <w:r w:rsidR="007F754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Agung dan Badan </w:t>
                  </w:r>
                  <w:proofErr w:type="spellStart"/>
                  <w:r w:rsidR="007F7541">
                    <w:rPr>
                      <w:rFonts w:ascii="Bookman Old Style" w:hAnsi="Bookman Old Style"/>
                      <w:sz w:val="21"/>
                      <w:szCs w:val="21"/>
                    </w:rPr>
                    <w:t>Peradilan</w:t>
                  </w:r>
                  <w:proofErr w:type="spellEnd"/>
                  <w:r w:rsidR="007F754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di </w:t>
                  </w:r>
                  <w:proofErr w:type="spellStart"/>
                  <w:r w:rsidR="007F7541">
                    <w:rPr>
                      <w:rFonts w:ascii="Bookman Old Style" w:hAnsi="Bookman Old Style"/>
                      <w:sz w:val="21"/>
                      <w:szCs w:val="21"/>
                    </w:rPr>
                    <w:t>Bawahnya</w:t>
                  </w:r>
                  <w:proofErr w:type="spellEnd"/>
                  <w:r w:rsidR="007F754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TA 2024;</w:t>
                  </w:r>
                </w:p>
              </w:tc>
            </w:tr>
            <w:tr w:rsidR="00EF368E" w:rsidRPr="00580C51" w14:paraId="417FDD4E" w14:textId="77777777" w:rsidTr="00515355">
              <w:tc>
                <w:tcPr>
                  <w:tcW w:w="460" w:type="dxa"/>
                </w:tcPr>
                <w:p w14:paraId="3066BC51" w14:textId="77777777" w:rsidR="00EF368E" w:rsidRPr="00580C51" w:rsidRDefault="00EF368E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</w:tc>
              <w:tc>
                <w:tcPr>
                  <w:tcW w:w="7116" w:type="dxa"/>
                </w:tcPr>
                <w:p w14:paraId="70532A04" w14:textId="2E792CA7" w:rsidR="00EF368E" w:rsidRPr="00580C51" w:rsidRDefault="00F36357" w:rsidP="00EF368E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Daftar Isian Pelaksanaan Anggaran Pengadilan Tinggi Agama Padang Nomor SP DIPA-005.0</w:t>
                  </w:r>
                  <w:r w:rsidR="001C16DD">
                    <w:rPr>
                      <w:rFonts w:ascii="Bookman Old Style" w:hAnsi="Bookman Old Style"/>
                      <w:sz w:val="21"/>
                      <w:szCs w:val="21"/>
                    </w:rPr>
                    <w:t>1</w:t>
                  </w: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.2.40190</w:t>
                  </w:r>
                  <w:r w:rsidR="001C16DD">
                    <w:rPr>
                      <w:rFonts w:ascii="Bookman Old Style" w:hAnsi="Bookman Old Style"/>
                      <w:sz w:val="21"/>
                      <w:szCs w:val="21"/>
                    </w:rPr>
                    <w:t>0</w:t>
                  </w: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/2023 tanggal 30 November 2022;</w:t>
                  </w:r>
                </w:p>
              </w:tc>
            </w:tr>
          </w:tbl>
          <w:p w14:paraId="58A3A6A6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580C51" w14:paraId="00499A44" w14:textId="77777777" w:rsidTr="00A771A1">
        <w:tc>
          <w:tcPr>
            <w:tcW w:w="9644" w:type="dxa"/>
            <w:gridSpan w:val="3"/>
          </w:tcPr>
          <w:p w14:paraId="5C57041E" w14:textId="77777777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3"/>
                <w:szCs w:val="13"/>
                <w:lang w:val="id-ID"/>
              </w:rPr>
            </w:pPr>
          </w:p>
          <w:p w14:paraId="3FC62992" w14:textId="4C4D2856" w:rsidR="00DC1AC7" w:rsidRPr="00580C51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5"/>
                <w:szCs w:val="15"/>
                <w:lang w:val="id-ID"/>
              </w:rPr>
            </w:pPr>
          </w:p>
        </w:tc>
      </w:tr>
      <w:tr w:rsidR="00DC1AC7" w:rsidRPr="00580C51" w14:paraId="2E9952B8" w14:textId="77777777" w:rsidTr="00A771A1">
        <w:tc>
          <w:tcPr>
            <w:tcW w:w="1560" w:type="dxa"/>
          </w:tcPr>
          <w:p w14:paraId="22AFE265" w14:textId="0D1F2E61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"/>
              <w:gridCol w:w="7160"/>
            </w:tblGrid>
            <w:tr w:rsidR="00515355" w:rsidRPr="00580C51" w14:paraId="57F06D02" w14:textId="77777777" w:rsidTr="00515355">
              <w:tc>
                <w:tcPr>
                  <w:tcW w:w="406" w:type="dxa"/>
                </w:tcPr>
                <w:p w14:paraId="08F02716" w14:textId="447530B3" w:rsidR="00515355" w:rsidRPr="00580C51" w:rsidRDefault="00515355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1.</w:t>
                  </w:r>
                </w:p>
              </w:tc>
              <w:tc>
                <w:tcPr>
                  <w:tcW w:w="7160" w:type="dxa"/>
                </w:tcPr>
                <w:p w14:paraId="0C529A26" w14:textId="4B7B580B" w:rsidR="00515355" w:rsidRPr="00B224AA" w:rsidRDefault="00F36357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H. Idris Latif, S.H., M.H.,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196404101993031002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Pembina Utama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Muda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(IV/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c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Sekretaris</w:t>
                  </w:r>
                  <w:proofErr w:type="spellEnd"/>
                </w:p>
              </w:tc>
            </w:tr>
            <w:tr w:rsidR="00515355" w:rsidRPr="00580C51" w14:paraId="0520EC80" w14:textId="77777777" w:rsidTr="00515355">
              <w:tc>
                <w:tcPr>
                  <w:tcW w:w="406" w:type="dxa"/>
                </w:tcPr>
                <w:p w14:paraId="2DF97AF0" w14:textId="77777777" w:rsidR="00515355" w:rsidRDefault="00515355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2.</w:t>
                  </w:r>
                </w:p>
                <w:p w14:paraId="0683AF15" w14:textId="77777777" w:rsidR="00A771A1" w:rsidRDefault="00A771A1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</w:p>
                <w:p w14:paraId="41082121" w14:textId="3357BA2F" w:rsidR="00A771A1" w:rsidRPr="00A771A1" w:rsidRDefault="00A771A1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7160" w:type="dxa"/>
                </w:tcPr>
                <w:p w14:paraId="090B67C8" w14:textId="08D28157" w:rsidR="00515355" w:rsidRDefault="001C16DD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Mukhlis, S.H.,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197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302242003121002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Pembina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Tingkat I (I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V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</w:t>
                  </w:r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b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="00515355"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 w:rsidR="00B224AA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Bagian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Perencanaan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dan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Kepegawaian</w:t>
                  </w:r>
                  <w:proofErr w:type="spellEnd"/>
                </w:p>
                <w:p w14:paraId="21BA5A24" w14:textId="31F586B6" w:rsidR="00A771A1" w:rsidRPr="00B224AA" w:rsidRDefault="001C16DD" w:rsidP="00515355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Elvi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Yunita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, S.H., M.H.</w:t>
                  </w:r>
                  <w:r w:rsidR="00A771A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r w:rsidR="00A771A1" w:rsidRPr="00A771A1">
                    <w:rPr>
                      <w:rFonts w:ascii="Bookman Old Style" w:hAnsi="Bookman Old Style"/>
                      <w:sz w:val="21"/>
                      <w:szCs w:val="21"/>
                    </w:rPr>
                    <w:t>198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8206162005022001</w:t>
                  </w:r>
                  <w:r w:rsidR="00A771A1">
                    <w:rPr>
                      <w:rFonts w:ascii="Bookman Old Style" w:hAnsi="Bookman Old Style"/>
                      <w:sz w:val="21"/>
                      <w:szCs w:val="21"/>
                    </w:rPr>
                    <w:t>, Penata (III/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c</w:t>
                  </w:r>
                  <w:r w:rsidR="00A771A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),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Subbagian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Rencana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Program dan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Anggaran</w:t>
                  </w:r>
                  <w:proofErr w:type="spellEnd"/>
                </w:p>
              </w:tc>
            </w:tr>
          </w:tbl>
          <w:p w14:paraId="2F53107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580C51" w14:paraId="41D9E3C7" w14:textId="77777777" w:rsidTr="00A771A1">
        <w:tc>
          <w:tcPr>
            <w:tcW w:w="1560" w:type="dxa"/>
          </w:tcPr>
          <w:p w14:paraId="192F020A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6E2B22C" w14:textId="77777777" w:rsidR="0006594F" w:rsidRPr="00580C51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580C51" w14:paraId="022239B0" w14:textId="77777777" w:rsidTr="00A771A1">
        <w:tc>
          <w:tcPr>
            <w:tcW w:w="1560" w:type="dxa"/>
          </w:tcPr>
          <w:p w14:paraId="4B073868" w14:textId="76C4EC04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20AA5DA0" w14:textId="4F0B4255" w:rsidR="00A771A1" w:rsidRPr="00A771A1" w:rsidRDefault="00A771A1" w:rsidP="00A771A1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r</w:t>
            </w:r>
            <w:r w:rsidR="001C16DD">
              <w:rPr>
                <w:rFonts w:ascii="Bookman Old Style" w:hAnsi="Bookman Old Style"/>
                <w:sz w:val="21"/>
                <w:szCs w:val="21"/>
              </w:rPr>
              <w:t>apat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Koordinasi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Penyusunan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Rencana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Kerja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Anggaran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Agung dan Badan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Peradilan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bawahnya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TA 2024</w:t>
            </w:r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="001C16DD">
              <w:rPr>
                <w:rFonts w:ascii="Bookman Old Style" w:hAnsi="Bookman Old Style"/>
                <w:sz w:val="21"/>
                <w:szCs w:val="21"/>
              </w:rPr>
              <w:t>30 Agustus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s.d. </w:t>
            </w:r>
            <w:r w:rsidR="001C16DD">
              <w:rPr>
                <w:rFonts w:ascii="Bookman Old Style" w:hAnsi="Bookman Old Style"/>
                <w:sz w:val="21"/>
                <w:szCs w:val="21"/>
              </w:rPr>
              <w:t>2 September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2023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Vasa Hotel 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>J</w:t>
            </w:r>
            <w:r>
              <w:rPr>
                <w:rFonts w:ascii="Bookman Old Style" w:hAnsi="Bookman Old Style"/>
                <w:sz w:val="21"/>
                <w:szCs w:val="21"/>
              </w:rPr>
              <w:t>alan</w:t>
            </w:r>
            <w:r w:rsidRPr="00B224A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Meyjen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 HR. Muhammad No.31 Putat Gede,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Kec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 xml:space="preserve">. </w:t>
            </w:r>
            <w:proofErr w:type="spellStart"/>
            <w:r w:rsidR="001C16DD">
              <w:rPr>
                <w:rFonts w:ascii="Bookman Old Style" w:hAnsi="Bookman Old Style"/>
                <w:sz w:val="21"/>
                <w:szCs w:val="21"/>
              </w:rPr>
              <w:t>Sukomanunggal</w:t>
            </w:r>
            <w:proofErr w:type="spellEnd"/>
            <w:r w:rsidR="001C16DD">
              <w:rPr>
                <w:rFonts w:ascii="Bookman Old Style" w:hAnsi="Bookman Old Style"/>
                <w:sz w:val="21"/>
                <w:szCs w:val="21"/>
              </w:rPr>
              <w:t>, Surabaya.</w:t>
            </w:r>
          </w:p>
        </w:tc>
      </w:tr>
      <w:tr w:rsidR="008E0F47" w:rsidRPr="00580C51" w14:paraId="626D48DA" w14:textId="77777777" w:rsidTr="00A771A1">
        <w:tc>
          <w:tcPr>
            <w:tcW w:w="1560" w:type="dxa"/>
          </w:tcPr>
          <w:p w14:paraId="078241DE" w14:textId="77777777" w:rsidR="008E0F47" w:rsidRPr="00580C51" w:rsidRDefault="008E0F4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2B258A43" w14:textId="77777777" w:rsidR="008E0F47" w:rsidRPr="00580C51" w:rsidRDefault="008E0F4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5A35F10C" w14:textId="77777777" w:rsidR="008E0F47" w:rsidRDefault="008E0F47" w:rsidP="00A771A1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3180C" w:rsidRPr="00580C51" w14:paraId="62A567F6" w14:textId="77777777" w:rsidTr="00515355">
        <w:tc>
          <w:tcPr>
            <w:tcW w:w="1560" w:type="dxa"/>
          </w:tcPr>
          <w:p w14:paraId="42D67ACC" w14:textId="5FA74C73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931BC60" w14:textId="302CB67D" w:rsidR="00D3180C" w:rsidRPr="00580C51" w:rsidRDefault="00D3180C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441487AA" w14:textId="2A9C47EF" w:rsidR="00D3180C" w:rsidRPr="00580C51" w:rsidRDefault="008E0F47" w:rsidP="00A771A1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Biaya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transportasi</w:t>
            </w:r>
            <w:proofErr w:type="spellEnd"/>
            <w:r w:rsidR="00D3180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yang timbul untuk pelaksanaan tugas ini dibebankan pada DIPA Pengadilan Tinggi Agama Padang Tahun Anggaran 2023.</w:t>
            </w:r>
          </w:p>
        </w:tc>
      </w:tr>
      <w:tr w:rsidR="00515355" w:rsidRPr="00580C51" w14:paraId="41108FD6" w14:textId="77777777" w:rsidTr="00515355">
        <w:tc>
          <w:tcPr>
            <w:tcW w:w="1560" w:type="dxa"/>
          </w:tcPr>
          <w:p w14:paraId="6FCEA28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580C51" w14:paraId="16812B18" w14:textId="77777777" w:rsidTr="00515355">
        <w:tc>
          <w:tcPr>
            <w:tcW w:w="1560" w:type="dxa"/>
          </w:tcPr>
          <w:p w14:paraId="797B8FF0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Surat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tugas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ini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dibuat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untuk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dipergunakan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sebagaimana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mestinya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.</w:t>
            </w:r>
          </w:p>
        </w:tc>
      </w:tr>
    </w:tbl>
    <w:p w14:paraId="55562405" w14:textId="77777777" w:rsidR="00FC4564" w:rsidRPr="00580C51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100B6112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8E0F47">
        <w:rPr>
          <w:rFonts w:ascii="Bookman Old Style" w:hAnsi="Bookman Old Style"/>
          <w:sz w:val="21"/>
          <w:szCs w:val="21"/>
        </w:rPr>
        <w:t>28</w:t>
      </w:r>
      <w:r w:rsidRPr="00580C51">
        <w:rPr>
          <w:rFonts w:ascii="Bookman Old Style" w:hAnsi="Bookman Old Style"/>
          <w:sz w:val="21"/>
          <w:szCs w:val="21"/>
          <w:lang w:val="id-ID"/>
        </w:rPr>
        <w:t xml:space="preserve"> Agustus 2023</w:t>
      </w:r>
    </w:p>
    <w:p w14:paraId="61BDB6F1" w14:textId="5F8536E0" w:rsidR="00CA51AB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3C1F274A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24A212B5" w:rsidR="00606787" w:rsidRPr="00580C51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"/>
        <w:gridCol w:w="9339"/>
      </w:tblGrid>
      <w:tr w:rsidR="00B230B0" w:rsidRPr="00580C51" w14:paraId="4D0B0DB0" w14:textId="77777777" w:rsidTr="008E0F47">
        <w:tc>
          <w:tcPr>
            <w:tcW w:w="300" w:type="dxa"/>
          </w:tcPr>
          <w:p w14:paraId="48069835" w14:textId="35153E77" w:rsidR="00B230B0" w:rsidRPr="008E0F47" w:rsidRDefault="008E0F47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-</w:t>
            </w:r>
          </w:p>
        </w:tc>
        <w:tc>
          <w:tcPr>
            <w:tcW w:w="9339" w:type="dxa"/>
          </w:tcPr>
          <w:p w14:paraId="2C762F8D" w14:textId="11F3CCCD" w:rsidR="00B230B0" w:rsidRPr="00B224AA" w:rsidRDefault="00B224AA" w:rsidP="00697EC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Kepala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8E0F47">
              <w:rPr>
                <w:rFonts w:ascii="Bookman Old Style" w:hAnsi="Bookman Old Style"/>
                <w:sz w:val="21"/>
                <w:szCs w:val="21"/>
              </w:rPr>
              <w:t xml:space="preserve">Biro </w:t>
            </w:r>
            <w:proofErr w:type="spellStart"/>
            <w:r w:rsidR="008E0F47">
              <w:rPr>
                <w:rFonts w:ascii="Bookman Old Style" w:hAnsi="Bookman Old Style"/>
                <w:sz w:val="21"/>
                <w:szCs w:val="21"/>
              </w:rPr>
              <w:t>Perencanaan</w:t>
            </w:r>
            <w:proofErr w:type="spellEnd"/>
            <w:r w:rsidR="008E0F47">
              <w:rPr>
                <w:rFonts w:ascii="Bookman Old Style" w:hAnsi="Bookman Old Style"/>
                <w:sz w:val="21"/>
                <w:szCs w:val="21"/>
              </w:rPr>
              <w:t xml:space="preserve"> dan </w:t>
            </w:r>
            <w:proofErr w:type="spellStart"/>
            <w:r w:rsidR="008E0F47">
              <w:rPr>
                <w:rFonts w:ascii="Bookman Old Style" w:hAnsi="Bookman Old Style"/>
                <w:sz w:val="21"/>
                <w:szCs w:val="21"/>
              </w:rPr>
              <w:t>Organisasi</w:t>
            </w:r>
            <w:proofErr w:type="spellEnd"/>
            <w:r w:rsidR="008E0F4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Mahkamah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Agung RI</w:t>
            </w:r>
            <w:r w:rsidR="000A50B9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</w:tbl>
    <w:p w14:paraId="6DBC8984" w14:textId="77777777" w:rsidR="00DB2AE6" w:rsidRPr="00580C51" w:rsidRDefault="00DB2AE6">
      <w:pPr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C16DD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D45F0"/>
    <w:rsid w:val="002F4537"/>
    <w:rsid w:val="003575F0"/>
    <w:rsid w:val="00377F52"/>
    <w:rsid w:val="00394C40"/>
    <w:rsid w:val="003974A3"/>
    <w:rsid w:val="003E619E"/>
    <w:rsid w:val="00400296"/>
    <w:rsid w:val="00407176"/>
    <w:rsid w:val="00420D5B"/>
    <w:rsid w:val="0048557A"/>
    <w:rsid w:val="004B6831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705353"/>
    <w:rsid w:val="00712F34"/>
    <w:rsid w:val="00713582"/>
    <w:rsid w:val="007162F1"/>
    <w:rsid w:val="0072763B"/>
    <w:rsid w:val="0077320E"/>
    <w:rsid w:val="00776285"/>
    <w:rsid w:val="007B6324"/>
    <w:rsid w:val="007E25AB"/>
    <w:rsid w:val="007F437B"/>
    <w:rsid w:val="007F509B"/>
    <w:rsid w:val="007F7541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8E0F47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2023-08-21T03:29:00Z</cp:lastPrinted>
  <dcterms:created xsi:type="dcterms:W3CDTF">2023-08-28T03:37:00Z</dcterms:created>
  <dcterms:modified xsi:type="dcterms:W3CDTF">2023-08-28T03:37:00Z</dcterms:modified>
</cp:coreProperties>
</file>