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W3-A/     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</w:rPr>
        <w:t>/I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X</w:t>
      </w:r>
      <w:r>
        <w:rPr>
          <w:rFonts w:ascii="Bookman Old Style" w:hAnsi="Bookman Old Style" w:cs="Calibri"/>
          <w:sz w:val="20"/>
          <w:szCs w:val="20"/>
        </w:rPr>
        <w:t>/2022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>7 September</w:t>
      </w:r>
      <w:r>
        <w:rPr>
          <w:rFonts w:ascii="Bookman Old Style" w:hAnsi="Bookman Old Style" w:cs="Calibri"/>
          <w:sz w:val="20"/>
          <w:szCs w:val="20"/>
        </w:rPr>
        <w:t xml:space="preserve"> 2022</w:t>
      </w:r>
    </w:p>
    <w:p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 1 (satu) berkas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Calibri"/>
          <w:b/>
          <w:sz w:val="20"/>
          <w:szCs w:val="20"/>
        </w:rPr>
        <w:t>Usulan Revisi POK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 xml:space="preserve"> ke 2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ascii="Bookman Old Style" w:hAnsi="Bookman Old Style" w:cs="Calibri"/>
          <w:b/>
          <w:sz w:val="20"/>
          <w:szCs w:val="20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DIPA 005.0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4</w:t>
      </w:r>
      <w:r>
        <w:rPr>
          <w:rFonts w:ascii="Bookman Old Style" w:hAnsi="Bookman Old Style" w:cs="Calibri"/>
          <w:b/>
          <w:sz w:val="20"/>
          <w:szCs w:val="20"/>
        </w:rPr>
        <w:t>.40190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1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Yth.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r>
        <w:rPr>
          <w:rFonts w:ascii="Bookman Old Style" w:hAnsi="Bookman Old Style" w:cs="Calibri"/>
          <w:bCs/>
          <w:sz w:val="20"/>
          <w:szCs w:val="20"/>
        </w:rPr>
        <w:t>Kuasa Pengguna Anggaran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Pengadilan Tinggi Agama Padang</w:t>
      </w:r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Dasar Hukum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Peraturan Menteri Keuangan Nomor 199/PMK.02/2021 tentang Tata Cara Revisi Anggaran;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DIPA Petikan Satuan Kerja Pengadilan Tinggi Agama Padang Nomor SP DIPA-005.0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4</w:t>
      </w:r>
      <w:r>
        <w:rPr>
          <w:rFonts w:ascii="Bookman Old Style" w:hAnsi="Bookman Old Style" w:cs="Calibri"/>
          <w:sz w:val="20"/>
          <w:szCs w:val="20"/>
        </w:rPr>
        <w:t>.2.40190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</w:rPr>
        <w:t>/2022 tanggal 17 November 2021 kode digital stamp DS: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3027</w:t>
      </w:r>
      <w:r>
        <w:rPr>
          <w:rFonts w:ascii="Bookman Old Style" w:hAnsi="Bookman Old Style" w:cs="Calibri"/>
          <w:sz w:val="20"/>
          <w:szCs w:val="20"/>
        </w:rPr>
        <w:t>-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8658</w:t>
      </w:r>
      <w:r>
        <w:rPr>
          <w:rFonts w:ascii="Bookman Old Style" w:hAnsi="Bookman Old Style" w:cs="Calibri"/>
          <w:sz w:val="20"/>
          <w:szCs w:val="20"/>
        </w:rPr>
        <w:t>-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0102</w:t>
      </w:r>
      <w:r>
        <w:rPr>
          <w:rFonts w:ascii="Bookman Old Style" w:hAnsi="Bookman Old Style" w:cs="Calibri"/>
          <w:sz w:val="20"/>
          <w:szCs w:val="20"/>
        </w:rPr>
        <w:t>-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0805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perlunya revisi  POK:</w:t>
      </w:r>
    </w:p>
    <w:p>
      <w:pPr>
        <w:pStyle w:val="7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yang menyebabkan dilakukan Revisi Anggaran adalah dari sisi perubahan kebijakan;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Bersama ini diusulkan Revisi Anggaran dengan rincian sebagai berikut :</w:t>
      </w:r>
    </w:p>
    <w:p>
      <w:pPr>
        <w:pStyle w:val="7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Kategori Revisi adalah pergeseran rincian anggaran dalam hal pagu anggaran tetap.</w:t>
      </w:r>
    </w:p>
    <w:p>
      <w:pPr>
        <w:pStyle w:val="7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Jenis revisi adalah pergeseran dalam 1 (satu) keluaran, 1 (satu) Kegiatan dan 1 (satu) satker dalam rangka memenuhi Layanan Dukungan Manajemen Satker.</w:t>
      </w:r>
    </w:p>
    <w:p>
      <w:pPr>
        <w:pStyle w:val="7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Setelah dilakukan analisa bahwa pada DIPA Petikan Pengadilan Tinggi Agama Padang tidak berubah maka kewenangannya adalah pada Kuasa Pengguna Anggaran.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Sebagai bahan pertimbangan berupa :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Hardcopy RKA-K/L Awal Pengadilan Tinggi Agama Padang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Hardcopy RKA-K/L Revisi Pengadilan Tinggi Agama Padang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>Matrik Perubahan (Semula-Menjadi)</w:t>
      </w: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>kami sampaikan, atas pengesahannya diucapkan terima kasih</w:t>
      </w:r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t>Pejabat Pembuat Komitmen</w:t>
      </w: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MUKHLIS, S.H.</w:t>
      </w: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zh-CN"/>
        </w:rPr>
        <w:t>197302242003121002</w:t>
      </w: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473AD"/>
    <w:multiLevelType w:val="multilevel"/>
    <w:tmpl w:val="026473AD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 w:tentative="0">
      <w:start w:val="1"/>
      <w:numFmt w:val="bullet"/>
      <w:lvlText w:val=""/>
      <w:lvlJc w:val="left"/>
      <w:pPr>
        <w:ind w:left="269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41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3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5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7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9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1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3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59" w:hanging="360"/>
      </w:pPr>
      <w:rPr>
        <w:rFonts w:hint="default" w:ascii="Wingdings" w:hAnsi="Wingdings"/>
      </w:rPr>
    </w:lvl>
  </w:abstractNum>
  <w:abstractNum w:abstractNumId="2">
    <w:nsid w:val="4AED3268"/>
    <w:multiLevelType w:val="multilevel"/>
    <w:tmpl w:val="4AED3268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558A477B"/>
    <w:multiLevelType w:val="multilevel"/>
    <w:tmpl w:val="558A477B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56C52"/>
    <w:rsid w:val="00662DE3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C8042C"/>
    <w:rsid w:val="00D31CE8"/>
    <w:rsid w:val="00D908F8"/>
    <w:rsid w:val="00DC6FBA"/>
    <w:rsid w:val="00DE0197"/>
    <w:rsid w:val="00E6436A"/>
    <w:rsid w:val="00E951A5"/>
    <w:rsid w:val="00E95FB6"/>
    <w:rsid w:val="00EE044F"/>
    <w:rsid w:val="00F06C54"/>
    <w:rsid w:val="00F66869"/>
    <w:rsid w:val="00FE5141"/>
    <w:rsid w:val="00FF59F8"/>
    <w:rsid w:val="0C65602D"/>
    <w:rsid w:val="20C04D65"/>
    <w:rsid w:val="41FC333D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style01"/>
    <w:basedOn w:val="2"/>
    <w:uiPriority w:val="0"/>
    <w:rPr>
      <w:rFonts w:hint="default" w:ascii="Helvetica" w:hAnsi="Helvetica" w:cs="Helvetica"/>
      <w:color w:val="000000"/>
      <w:sz w:val="12"/>
      <w:szCs w:val="12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1189</Characters>
  <Lines>9</Lines>
  <Paragraphs>2</Paragraphs>
  <TotalTime>55</TotalTime>
  <ScaleCrop>false</ScaleCrop>
  <LinksUpToDate>false</LinksUpToDate>
  <CharactersWithSpaces>1395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2021-04-12T09:35:00Z</dcterms:created>
  <dc:creator>simak</dc:creator>
  <cp:lastModifiedBy>user</cp:lastModifiedBy>
  <cp:lastPrinted>2021-10-08T01:48:00Z</cp:lastPrinted>
  <dcterms:modified xsi:type="dcterms:W3CDTF">2022-09-22T02:27:31Z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58ED3A71C8DA4F3BA8CD09BD869D4304</vt:lpwstr>
  </property>
</Properties>
</file>