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F19988B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5B2809" w:rsidRPr="005B2809">
        <w:rPr>
          <w:rFonts w:ascii="Bookman Old Style" w:hAnsi="Bookman Old Style"/>
          <w:bCs/>
          <w:sz w:val="22"/>
          <w:szCs w:val="22"/>
          <w:lang w:val="id-ID"/>
        </w:rPr>
        <w:t xml:space="preserve">          /KPTA.W3-A/KP4.1.3/IX/2023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76F91340" w14:textId="5F65DEF2" w:rsidR="00A159CC" w:rsidRDefault="005B2809" w:rsidP="005B2809">
      <w:pPr>
        <w:tabs>
          <w:tab w:val="left" w:pos="1484"/>
        </w:tabs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Berdasarkan Surat Direktur Jenderal Badan Peradilan Agama Mahkamah Agung RI selaku Pelaksana Seleksi Calon Panitera Pengganti (CPP) Pengadilan Agama/Mahkamah Syar’iyah Secara Daring Tahun 2023 Nomor 2771/DJA/KP.04.6/9/2023 tanggal 5 September 2023, perihal Penunjukan Panitia Satuan Kerja Daerah Seleksi Calon Panitera Pengganti (CPP) Pengadilan Agama/Mahkamah Syar’iyah Tahun 2023, kemi menugaskan kepada:</w:t>
      </w:r>
    </w:p>
    <w:p w14:paraId="6226C673" w14:textId="77777777" w:rsidR="001E0372" w:rsidRDefault="001E0372" w:rsidP="005B2809">
      <w:pPr>
        <w:tabs>
          <w:tab w:val="left" w:pos="1484"/>
        </w:tabs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6"/>
        <w:gridCol w:w="3048"/>
        <w:gridCol w:w="1493"/>
        <w:gridCol w:w="2270"/>
        <w:gridCol w:w="1562"/>
      </w:tblGrid>
      <w:tr w:rsidR="005B2809" w14:paraId="472BF81D" w14:textId="77777777" w:rsidTr="00B50770">
        <w:tc>
          <w:tcPr>
            <w:tcW w:w="506" w:type="dxa"/>
            <w:vMerge w:val="restart"/>
          </w:tcPr>
          <w:p w14:paraId="63BDFC7D" w14:textId="0D24F5D4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  <w:r w:rsidRPr="005B2809"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  <w:t>No</w:t>
            </w:r>
          </w:p>
        </w:tc>
        <w:tc>
          <w:tcPr>
            <w:tcW w:w="3142" w:type="dxa"/>
            <w:vMerge w:val="restart"/>
          </w:tcPr>
          <w:p w14:paraId="0A8C369B" w14:textId="4FED3471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  <w:r w:rsidRPr="005B2809"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  <w:t>Nama dan NIP</w:t>
            </w:r>
          </w:p>
        </w:tc>
        <w:tc>
          <w:tcPr>
            <w:tcW w:w="1597" w:type="dxa"/>
            <w:vMerge w:val="restart"/>
          </w:tcPr>
          <w:p w14:paraId="4017A110" w14:textId="5B447362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  <w:r w:rsidRPr="005B2809"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  <w:t>Satuan Kerja</w:t>
            </w:r>
          </w:p>
        </w:tc>
        <w:tc>
          <w:tcPr>
            <w:tcW w:w="3974" w:type="dxa"/>
            <w:gridSpan w:val="2"/>
          </w:tcPr>
          <w:p w14:paraId="18992BA4" w14:textId="623479E7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  <w:r w:rsidRPr="005B2809"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  <w:t>Jabatan</w:t>
            </w:r>
          </w:p>
        </w:tc>
      </w:tr>
      <w:tr w:rsidR="005B2809" w14:paraId="5C6F653E" w14:textId="77777777" w:rsidTr="00B50770">
        <w:tc>
          <w:tcPr>
            <w:tcW w:w="506" w:type="dxa"/>
            <w:vMerge/>
          </w:tcPr>
          <w:p w14:paraId="7CDA3996" w14:textId="77777777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3142" w:type="dxa"/>
            <w:vMerge/>
          </w:tcPr>
          <w:p w14:paraId="5AE03384" w14:textId="77777777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1597" w:type="dxa"/>
            <w:vMerge/>
          </w:tcPr>
          <w:p w14:paraId="66252AE3" w14:textId="77777777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2412" w:type="dxa"/>
          </w:tcPr>
          <w:p w14:paraId="3AEB41CC" w14:textId="4A6F1EAD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  <w:r w:rsidRPr="005B2809"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  <w:t>Kedinasan</w:t>
            </w:r>
          </w:p>
        </w:tc>
        <w:tc>
          <w:tcPr>
            <w:tcW w:w="1562" w:type="dxa"/>
          </w:tcPr>
          <w:p w14:paraId="6E480832" w14:textId="32068764" w:rsidR="005B2809" w:rsidRPr="005B2809" w:rsidRDefault="005B2809" w:rsidP="005B2809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</w:pPr>
            <w:r w:rsidRPr="005B2809">
              <w:rPr>
                <w:rFonts w:ascii="Bookman Old Style" w:hAnsi="Bookman Old Style"/>
                <w:b/>
                <w:bCs/>
                <w:spacing w:val="2"/>
                <w:sz w:val="21"/>
                <w:szCs w:val="21"/>
              </w:rPr>
              <w:t>Kepanitiaan</w:t>
            </w:r>
          </w:p>
        </w:tc>
      </w:tr>
      <w:tr w:rsidR="00B50770" w14:paraId="167F251C" w14:textId="77777777" w:rsidTr="00B50770">
        <w:tc>
          <w:tcPr>
            <w:tcW w:w="506" w:type="dxa"/>
            <w:vAlign w:val="center"/>
          </w:tcPr>
          <w:p w14:paraId="388BD7C3" w14:textId="6F56345F" w:rsidR="005B2809" w:rsidRDefault="005B2809" w:rsidP="00B50770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1</w:t>
            </w:r>
          </w:p>
        </w:tc>
        <w:tc>
          <w:tcPr>
            <w:tcW w:w="3142" w:type="dxa"/>
            <w:vAlign w:val="center"/>
          </w:tcPr>
          <w:p w14:paraId="3BCB39EE" w14:textId="77777777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 w:rsidRPr="00B50770">
              <w:rPr>
                <w:rFonts w:ascii="Bookman Old Style" w:hAnsi="Bookman Old Style"/>
                <w:spacing w:val="2"/>
                <w:sz w:val="21"/>
                <w:szCs w:val="21"/>
              </w:rPr>
              <w:t>Dr. Drs. H. Pelmizar, M.H.I.</w:t>
            </w:r>
          </w:p>
          <w:p w14:paraId="67E11E51" w14:textId="08A1063C" w:rsidR="00B50770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 w:rsidRPr="00B50770">
              <w:rPr>
                <w:rFonts w:ascii="Bookman Old Style" w:hAnsi="Bookman Old Style"/>
                <w:spacing w:val="2"/>
                <w:sz w:val="21"/>
                <w:szCs w:val="21"/>
              </w:rPr>
              <w:t>195611121981031009</w:t>
            </w:r>
          </w:p>
        </w:tc>
        <w:tc>
          <w:tcPr>
            <w:tcW w:w="1597" w:type="dxa"/>
            <w:vAlign w:val="center"/>
          </w:tcPr>
          <w:p w14:paraId="4254F865" w14:textId="118E3F55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PTA Padang</w:t>
            </w:r>
          </w:p>
        </w:tc>
        <w:tc>
          <w:tcPr>
            <w:tcW w:w="2412" w:type="dxa"/>
            <w:vAlign w:val="center"/>
          </w:tcPr>
          <w:p w14:paraId="50CA14E8" w14:textId="7DEF4053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Ketua</w:t>
            </w:r>
          </w:p>
        </w:tc>
        <w:tc>
          <w:tcPr>
            <w:tcW w:w="1562" w:type="dxa"/>
            <w:vAlign w:val="center"/>
          </w:tcPr>
          <w:p w14:paraId="7390D66E" w14:textId="39F07F80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Ketua</w:t>
            </w:r>
          </w:p>
        </w:tc>
      </w:tr>
      <w:tr w:rsidR="00B50770" w14:paraId="645970C1" w14:textId="77777777" w:rsidTr="00B50770">
        <w:tc>
          <w:tcPr>
            <w:tcW w:w="506" w:type="dxa"/>
            <w:vAlign w:val="center"/>
          </w:tcPr>
          <w:p w14:paraId="26BF736C" w14:textId="59241446" w:rsidR="005B2809" w:rsidRDefault="005B2809" w:rsidP="00B50770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2</w:t>
            </w:r>
          </w:p>
        </w:tc>
        <w:tc>
          <w:tcPr>
            <w:tcW w:w="3142" w:type="dxa"/>
            <w:vAlign w:val="center"/>
          </w:tcPr>
          <w:p w14:paraId="010BB72C" w14:textId="77777777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 w:rsidRPr="00B50770">
              <w:rPr>
                <w:rFonts w:ascii="Bookman Old Style" w:hAnsi="Bookman Old Style"/>
                <w:spacing w:val="2"/>
                <w:sz w:val="21"/>
                <w:szCs w:val="21"/>
              </w:rPr>
              <w:t>Drs. Syafruddin</w:t>
            </w:r>
          </w:p>
          <w:p w14:paraId="19BBBE51" w14:textId="0BD4CA06" w:rsidR="00B50770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 w:rsidRPr="00B50770">
              <w:rPr>
                <w:rFonts w:ascii="Bookman Old Style" w:hAnsi="Bookman Old Style"/>
                <w:spacing w:val="2"/>
                <w:sz w:val="21"/>
                <w:szCs w:val="21"/>
              </w:rPr>
              <w:t>196210141994031001</w:t>
            </w:r>
          </w:p>
        </w:tc>
        <w:tc>
          <w:tcPr>
            <w:tcW w:w="1597" w:type="dxa"/>
            <w:vAlign w:val="center"/>
          </w:tcPr>
          <w:p w14:paraId="5280F939" w14:textId="0716A826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PTA Padang</w:t>
            </w:r>
          </w:p>
        </w:tc>
        <w:tc>
          <w:tcPr>
            <w:tcW w:w="2412" w:type="dxa"/>
            <w:vAlign w:val="center"/>
          </w:tcPr>
          <w:p w14:paraId="38E5EAB5" w14:textId="1BDE41CD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Panitera</w:t>
            </w:r>
          </w:p>
        </w:tc>
        <w:tc>
          <w:tcPr>
            <w:tcW w:w="1562" w:type="dxa"/>
            <w:vAlign w:val="center"/>
          </w:tcPr>
          <w:p w14:paraId="6769E3EA" w14:textId="1A0A7B8E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Sekretaris</w:t>
            </w:r>
          </w:p>
        </w:tc>
      </w:tr>
      <w:tr w:rsidR="005B2809" w14:paraId="266E44E8" w14:textId="77777777" w:rsidTr="00B50770">
        <w:tc>
          <w:tcPr>
            <w:tcW w:w="506" w:type="dxa"/>
            <w:vAlign w:val="center"/>
          </w:tcPr>
          <w:p w14:paraId="6014F547" w14:textId="582AB3B2" w:rsidR="005B2809" w:rsidRDefault="005B2809" w:rsidP="00B50770">
            <w:pPr>
              <w:tabs>
                <w:tab w:val="left" w:pos="1484"/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3</w:t>
            </w:r>
          </w:p>
        </w:tc>
        <w:tc>
          <w:tcPr>
            <w:tcW w:w="3142" w:type="dxa"/>
            <w:vAlign w:val="center"/>
          </w:tcPr>
          <w:p w14:paraId="5C26BEEB" w14:textId="77777777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 w:rsidRPr="00B50770">
              <w:rPr>
                <w:rFonts w:ascii="Bookman Old Style" w:hAnsi="Bookman Old Style"/>
                <w:spacing w:val="2"/>
                <w:sz w:val="21"/>
                <w:szCs w:val="21"/>
              </w:rPr>
              <w:t>Rifka Hidayat, S.H.</w:t>
            </w:r>
          </w:p>
          <w:p w14:paraId="1F128587" w14:textId="707FBF20" w:rsidR="00B50770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 w:rsidRPr="00B50770">
              <w:rPr>
                <w:rFonts w:ascii="Bookman Old Style" w:hAnsi="Bookman Old Style"/>
                <w:spacing w:val="2"/>
                <w:sz w:val="21"/>
                <w:szCs w:val="21"/>
              </w:rPr>
              <w:t>198503212006041004</w:t>
            </w:r>
          </w:p>
        </w:tc>
        <w:tc>
          <w:tcPr>
            <w:tcW w:w="1597" w:type="dxa"/>
            <w:vAlign w:val="center"/>
          </w:tcPr>
          <w:p w14:paraId="249952A1" w14:textId="0B3D78D3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PTA Padang</w:t>
            </w:r>
          </w:p>
        </w:tc>
        <w:tc>
          <w:tcPr>
            <w:tcW w:w="2412" w:type="dxa"/>
            <w:vAlign w:val="center"/>
          </w:tcPr>
          <w:p w14:paraId="2903A203" w14:textId="47CD5C73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Kepala Sub Bagian Kepegawaian dan TI</w:t>
            </w:r>
          </w:p>
        </w:tc>
        <w:tc>
          <w:tcPr>
            <w:tcW w:w="1562" w:type="dxa"/>
            <w:vAlign w:val="center"/>
          </w:tcPr>
          <w:p w14:paraId="0B6B176C" w14:textId="6703820F" w:rsidR="005B2809" w:rsidRDefault="00B50770" w:rsidP="00B50770">
            <w:pPr>
              <w:tabs>
                <w:tab w:val="left" w:pos="1484"/>
                <w:tab w:val="left" w:pos="1843"/>
              </w:tabs>
              <w:spacing w:line="276" w:lineRule="auto"/>
              <w:rPr>
                <w:rFonts w:ascii="Bookman Old Style" w:hAnsi="Bookman Old Style"/>
                <w:spacing w:val="2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Anggota</w:t>
            </w:r>
          </w:p>
        </w:tc>
      </w:tr>
    </w:tbl>
    <w:p w14:paraId="65ED0D20" w14:textId="77777777" w:rsidR="005B2809" w:rsidRPr="005B2809" w:rsidRDefault="005B2809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</w:p>
    <w:p w14:paraId="2D80F637" w14:textId="4D0DEAA4" w:rsidR="001704DE" w:rsidRDefault="00B50770" w:rsidP="00A325BD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untuk menjadi Panitia Satuan Kerja Daerah pada Pelaksanaan Seleksi Calon Panitera Pengganti (CPP) Pengadilan Agama/Mahkamah Syari’yah Secara Elektronik pada hari Selasa, tanggal 26 September 2023 di Wilayah Pengadilan Tinggi Agama Padang.</w:t>
      </w:r>
    </w:p>
    <w:p w14:paraId="29EF6A40" w14:textId="14BFBFF4" w:rsidR="00B50770" w:rsidRDefault="00B50770" w:rsidP="00A325BD">
      <w:pPr>
        <w:ind w:firstLine="56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Biaya pelaksanaan kegiatan ini dibebankan kepada DIPA Pengadilan Tinggi Agama Padang.</w:t>
      </w:r>
    </w:p>
    <w:p w14:paraId="1B33A2B3" w14:textId="5BED6024" w:rsidR="00B50770" w:rsidRDefault="00B50770" w:rsidP="00A325BD">
      <w:pPr>
        <w:ind w:firstLine="56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Demikian Surat Tugas ini untuk dipergunakan sebagaimana mestinya.</w:t>
      </w:r>
    </w:p>
    <w:p w14:paraId="3C8E3D90" w14:textId="77777777" w:rsidR="00B50770" w:rsidRPr="00B50770" w:rsidRDefault="00B50770" w:rsidP="001704DE">
      <w:pPr>
        <w:rPr>
          <w:rFonts w:ascii="Bookman Old Style" w:hAnsi="Bookman Old Style"/>
          <w:sz w:val="21"/>
          <w:szCs w:val="21"/>
        </w:rPr>
      </w:pPr>
    </w:p>
    <w:p w14:paraId="5D856EAB" w14:textId="34775349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50770">
        <w:rPr>
          <w:rFonts w:ascii="Bookman Old Style" w:hAnsi="Bookman Old Style"/>
          <w:sz w:val="22"/>
          <w:szCs w:val="22"/>
        </w:rPr>
        <w:t>12</w:t>
      </w:r>
      <w:r w:rsidR="00A159CC">
        <w:rPr>
          <w:rFonts w:ascii="Bookman Old Style" w:hAnsi="Bookman Old Style"/>
          <w:sz w:val="22"/>
          <w:szCs w:val="22"/>
        </w:rPr>
        <w:t xml:space="preserve"> September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E226DA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6073F61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6326839D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79400CA" w14:textId="77777777" w:rsidR="006D3F14" w:rsidRDefault="006D3F14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38D0217A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Pelmizar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01418EF3" w:rsidR="0018308C" w:rsidRPr="00416F68" w:rsidRDefault="0018308C" w:rsidP="00416F68">
      <w:pPr>
        <w:rPr>
          <w:rFonts w:ascii="Bookman Old Style" w:hAnsi="Bookman Old Style"/>
          <w:bCs/>
          <w:sz w:val="20"/>
          <w:szCs w:val="20"/>
        </w:rPr>
      </w:pPr>
      <w:r w:rsidRPr="00416F68"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1E0372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0372"/>
    <w:rsid w:val="001E2D6E"/>
    <w:rsid w:val="001E49F0"/>
    <w:rsid w:val="002169BE"/>
    <w:rsid w:val="00222619"/>
    <w:rsid w:val="002D47F2"/>
    <w:rsid w:val="002F6D8E"/>
    <w:rsid w:val="00326D78"/>
    <w:rsid w:val="0037230C"/>
    <w:rsid w:val="003B369F"/>
    <w:rsid w:val="003C3EAF"/>
    <w:rsid w:val="003D216A"/>
    <w:rsid w:val="003D7AFA"/>
    <w:rsid w:val="00416F68"/>
    <w:rsid w:val="0047359D"/>
    <w:rsid w:val="00487F74"/>
    <w:rsid w:val="004A6387"/>
    <w:rsid w:val="004A78E7"/>
    <w:rsid w:val="004B151A"/>
    <w:rsid w:val="004C3ED2"/>
    <w:rsid w:val="004F0030"/>
    <w:rsid w:val="00520EE8"/>
    <w:rsid w:val="005525F1"/>
    <w:rsid w:val="00563866"/>
    <w:rsid w:val="005645A8"/>
    <w:rsid w:val="00573865"/>
    <w:rsid w:val="00594644"/>
    <w:rsid w:val="005B2809"/>
    <w:rsid w:val="005E2BB3"/>
    <w:rsid w:val="00642B93"/>
    <w:rsid w:val="00654614"/>
    <w:rsid w:val="0066704B"/>
    <w:rsid w:val="006778DC"/>
    <w:rsid w:val="006D3F14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01D29"/>
    <w:rsid w:val="00A159CC"/>
    <w:rsid w:val="00A31655"/>
    <w:rsid w:val="00A325BD"/>
    <w:rsid w:val="00A478AD"/>
    <w:rsid w:val="00A94E29"/>
    <w:rsid w:val="00AB00D2"/>
    <w:rsid w:val="00AD5CA4"/>
    <w:rsid w:val="00AF11DB"/>
    <w:rsid w:val="00B353D3"/>
    <w:rsid w:val="00B42546"/>
    <w:rsid w:val="00B45E2A"/>
    <w:rsid w:val="00B50770"/>
    <w:rsid w:val="00C81DD5"/>
    <w:rsid w:val="00C82DB9"/>
    <w:rsid w:val="00CC6414"/>
    <w:rsid w:val="00CD7636"/>
    <w:rsid w:val="00D854F3"/>
    <w:rsid w:val="00D859F4"/>
    <w:rsid w:val="00D93D79"/>
    <w:rsid w:val="00DC207A"/>
    <w:rsid w:val="00DD6B80"/>
    <w:rsid w:val="00DF1901"/>
    <w:rsid w:val="00E040CA"/>
    <w:rsid w:val="00E162E2"/>
    <w:rsid w:val="00E359D7"/>
    <w:rsid w:val="00E56C54"/>
    <w:rsid w:val="00EB0D76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  <w:style w:type="table" w:styleId="TableGrid">
    <w:name w:val="Table Grid"/>
    <w:basedOn w:val="TableNormal"/>
    <w:uiPriority w:val="39"/>
    <w:rsid w:val="005B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13</cp:revision>
  <cp:lastPrinted>2023-09-08T09:26:00Z</cp:lastPrinted>
  <dcterms:created xsi:type="dcterms:W3CDTF">2023-06-15T03:38:00Z</dcterms:created>
  <dcterms:modified xsi:type="dcterms:W3CDTF">2023-09-12T03:05:00Z</dcterms:modified>
</cp:coreProperties>
</file>