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6CDBF22E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7D2B7AF7" w14:textId="2A3779D9" w:rsidR="00A949C6" w:rsidRPr="00F04EF2" w:rsidRDefault="00640E85" w:rsidP="00044214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val="id-ID"/>
        </w:rPr>
        <w:t>NOMOR : 2362</w:t>
      </w:r>
      <w:r w:rsidR="008655F4" w:rsidRPr="008655F4">
        <w:rPr>
          <w:rFonts w:asciiTheme="majorHAnsi" w:hAnsiTheme="majorHAnsi" w:cs="Arial"/>
          <w:sz w:val="20"/>
          <w:szCs w:val="20"/>
        </w:rPr>
        <w:t>/KPTA.W3-A/PL1.2.3/</w:t>
      </w:r>
      <w:r w:rsidR="006F4653">
        <w:rPr>
          <w:rFonts w:asciiTheme="majorHAnsi" w:hAnsiTheme="majorHAnsi" w:cs="Arial"/>
          <w:sz w:val="20"/>
          <w:szCs w:val="20"/>
        </w:rPr>
        <w:t>VI</w:t>
      </w:r>
      <w:r w:rsidR="008655F4" w:rsidRPr="008655F4">
        <w:rPr>
          <w:rFonts w:asciiTheme="majorHAnsi" w:hAnsiTheme="majorHAnsi" w:cs="Arial"/>
          <w:sz w:val="20"/>
          <w:szCs w:val="20"/>
        </w:rPr>
        <w:t>I/2024</w:t>
      </w:r>
    </w:p>
    <w:p w14:paraId="081946E0" w14:textId="77777777" w:rsidR="00F64E7D" w:rsidRDefault="00F64E7D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4DB42035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40E85">
        <w:rPr>
          <w:rFonts w:ascii="Cambria" w:hAnsi="Cambria" w:cs="Arial"/>
          <w:b/>
          <w:sz w:val="20"/>
          <w:szCs w:val="20"/>
          <w:lang w:val="sv-SE"/>
        </w:rPr>
        <w:t>KENDRAAN</w:t>
      </w:r>
    </w:p>
    <w:p w14:paraId="176D7C4C" w14:textId="5E7C403D" w:rsidR="00A949C6" w:rsidRPr="008B51B2" w:rsidRDefault="00A949C6" w:rsidP="00674392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B40427">
        <w:rPr>
          <w:rFonts w:ascii="Cambria" w:hAnsi="Cambria" w:cs="Arial"/>
          <w:b/>
          <w:sz w:val="20"/>
          <w:szCs w:val="20"/>
        </w:rPr>
        <w:t>PAINAN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9D89DF4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1C291325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40E85">
              <w:rPr>
                <w:rFonts w:ascii="Cambria" w:eastAsia="Arial Unicode MS" w:hAnsi="Cambria" w:cs="Arial"/>
                <w:sz w:val="20"/>
                <w:szCs w:val="20"/>
              </w:rPr>
              <w:t>Kendaraan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B40427">
              <w:rPr>
                <w:rFonts w:ascii="Cambria" w:eastAsia="Arial Unicode MS" w:hAnsi="Cambria" w:cs="Arial"/>
                <w:sz w:val="20"/>
                <w:szCs w:val="20"/>
              </w:rPr>
              <w:t>Painan</w:t>
            </w:r>
            <w:proofErr w:type="spellEnd"/>
            <w:r w:rsidR="008B51B2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40E85">
              <w:rPr>
                <w:rFonts w:ascii="Cambria" w:eastAsia="Arial Unicode MS" w:hAnsi="Cambria" w:cs="Arial"/>
                <w:sz w:val="20"/>
                <w:szCs w:val="20"/>
              </w:rPr>
              <w:t>Kendaraan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45E350A9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40E85">
              <w:rPr>
                <w:rFonts w:ascii="Cambria" w:eastAsia="Arial Unicode MS" w:hAnsi="Cambria" w:cs="Arial"/>
                <w:sz w:val="20"/>
                <w:szCs w:val="20"/>
              </w:rPr>
              <w:t>Kendaraan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B40427">
              <w:rPr>
                <w:rFonts w:ascii="Cambria" w:eastAsia="Arial Unicode MS" w:hAnsi="Cambria" w:cs="Arial"/>
                <w:sz w:val="20"/>
                <w:szCs w:val="20"/>
              </w:rPr>
              <w:t>Painan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0B5DA158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40E85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Kendaraan</w:t>
            </w:r>
            <w:proofErr w:type="spellEnd"/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B40427">
              <w:rPr>
                <w:rFonts w:ascii="Cambria" w:eastAsia="Arial Unicode MS" w:hAnsi="Cambria" w:cs="Arial"/>
                <w:sz w:val="20"/>
                <w:szCs w:val="20"/>
              </w:rPr>
              <w:t>Painan</w:t>
            </w:r>
            <w:proofErr w:type="spellEnd"/>
            <w:r w:rsidR="008B51B2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470DE608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</w:t>
            </w:r>
            <w:r w:rsidR="00640E85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Kendaraan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769AA6F4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640E85">
        <w:rPr>
          <w:rFonts w:ascii="Cambria" w:hAnsi="Cambria" w:cs="Arial"/>
          <w:sz w:val="20"/>
          <w:szCs w:val="20"/>
        </w:rPr>
        <w:t>22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6F4653">
        <w:rPr>
          <w:rFonts w:ascii="Cambria" w:hAnsi="Cambria" w:cs="Arial"/>
          <w:sz w:val="20"/>
          <w:szCs w:val="20"/>
        </w:rPr>
        <w:t>Juli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437AB795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57787704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Hamid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Pulungan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 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5BC44BC5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2B41EBA5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640E85">
        <w:rPr>
          <w:rFonts w:ascii="Cambria" w:hAnsi="Cambria" w:cs="Arial"/>
          <w:b/>
          <w:sz w:val="20"/>
          <w:szCs w:val="20"/>
        </w:rPr>
        <w:t>2362</w:t>
      </w:r>
      <w:r w:rsidR="006F4653">
        <w:rPr>
          <w:rFonts w:ascii="Cambria" w:hAnsi="Cambria" w:cs="Arial"/>
          <w:b/>
          <w:sz w:val="20"/>
          <w:szCs w:val="20"/>
          <w:lang w:val="id-ID"/>
        </w:rPr>
        <w:t>/KPTA.W3-A/PL1.2.3/VI</w:t>
      </w:r>
      <w:r w:rsidR="008B51B2">
        <w:rPr>
          <w:rFonts w:ascii="Cambria" w:hAnsi="Cambria" w:cs="Arial"/>
          <w:b/>
          <w:sz w:val="20"/>
          <w:szCs w:val="20"/>
        </w:rPr>
        <w:t>I</w:t>
      </w:r>
      <w:r w:rsidR="00C60810" w:rsidRPr="00C60810">
        <w:rPr>
          <w:rFonts w:ascii="Cambria" w:hAnsi="Cambria" w:cs="Arial"/>
          <w:b/>
          <w:sz w:val="20"/>
          <w:szCs w:val="20"/>
          <w:lang w:val="id-ID"/>
        </w:rPr>
        <w:t>/2024</w:t>
      </w:r>
    </w:p>
    <w:p w14:paraId="2731533A" w14:textId="79BF0D61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640E85">
        <w:rPr>
          <w:rFonts w:ascii="Cambria" w:hAnsi="Cambria" w:cs="Arial"/>
          <w:b/>
          <w:bCs/>
          <w:sz w:val="20"/>
          <w:szCs w:val="20"/>
        </w:rPr>
        <w:t>22</w:t>
      </w:r>
      <w:r w:rsidR="005A43AE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="006F4653">
        <w:rPr>
          <w:rFonts w:ascii="Cambria" w:hAnsi="Cambria" w:cs="Arial"/>
          <w:b/>
          <w:bCs/>
          <w:sz w:val="20"/>
          <w:szCs w:val="20"/>
        </w:rPr>
        <w:t>Juli</w:t>
      </w:r>
      <w:proofErr w:type="spellEnd"/>
      <w:r w:rsidR="00C60810">
        <w:rPr>
          <w:rFonts w:ascii="Cambria" w:hAnsi="Cambria" w:cs="Arial"/>
          <w:b/>
          <w:bCs/>
          <w:sz w:val="20"/>
          <w:szCs w:val="20"/>
        </w:rPr>
        <w:t xml:space="preserve"> 2024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2D0DF430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640E85">
        <w:rPr>
          <w:rFonts w:ascii="Cambria" w:hAnsi="Cambria" w:cs="Arial"/>
          <w:b/>
          <w:bCs/>
          <w:sz w:val="20"/>
          <w:szCs w:val="20"/>
        </w:rPr>
        <w:t>KENDARAAN</w:t>
      </w:r>
    </w:p>
    <w:p w14:paraId="26B8E375" w14:textId="14AD3192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B40427">
        <w:rPr>
          <w:rFonts w:ascii="Cambria" w:hAnsi="Cambria" w:cs="Arial"/>
          <w:b/>
          <w:bCs/>
          <w:sz w:val="20"/>
          <w:szCs w:val="20"/>
        </w:rPr>
        <w:t>PAINAN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109"/>
        <w:gridCol w:w="4262"/>
        <w:gridCol w:w="2835"/>
        <w:gridCol w:w="2835"/>
        <w:gridCol w:w="2693"/>
      </w:tblGrid>
      <w:tr w:rsidR="009C489E" w14:paraId="43EFC758" w14:textId="77777777" w:rsidTr="009C05C3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109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4262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9C05C3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09" w:type="dxa"/>
          </w:tcPr>
          <w:p w14:paraId="406518AF" w14:textId="453F0C97" w:rsidR="00C60810" w:rsidRDefault="00DE219F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Hendra Perdana, S</w:t>
            </w:r>
            <w:r w:rsidR="006F4653">
              <w:rPr>
                <w:sz w:val="20"/>
              </w:rPr>
              <w:t>.</w:t>
            </w:r>
            <w:r>
              <w:rPr>
                <w:sz w:val="20"/>
              </w:rPr>
              <w:t>H.</w:t>
            </w:r>
          </w:p>
          <w:p w14:paraId="2215699B" w14:textId="7E298B16" w:rsidR="009C489E" w:rsidRDefault="009C489E" w:rsidP="006F465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DE219F">
              <w:rPr>
                <w:sz w:val="20"/>
              </w:rPr>
              <w:t>19770130</w:t>
            </w:r>
            <w:r w:rsidR="00C60810">
              <w:rPr>
                <w:sz w:val="20"/>
              </w:rPr>
              <w:t xml:space="preserve"> </w:t>
            </w:r>
            <w:r w:rsidR="008B51B2">
              <w:rPr>
                <w:sz w:val="20"/>
              </w:rPr>
              <w:t>20</w:t>
            </w:r>
            <w:r w:rsidR="00DE219F">
              <w:rPr>
                <w:sz w:val="20"/>
              </w:rPr>
              <w:t>09</w:t>
            </w:r>
            <w:r w:rsidR="006F4653">
              <w:rPr>
                <w:sz w:val="20"/>
              </w:rPr>
              <w:t>04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003</w:t>
            </w:r>
          </w:p>
        </w:tc>
        <w:tc>
          <w:tcPr>
            <w:tcW w:w="4262" w:type="dxa"/>
          </w:tcPr>
          <w:p w14:paraId="2A81296A" w14:textId="3C524FB2" w:rsidR="009C489E" w:rsidRDefault="00164B33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Kasubag Umum dan Keuangan</w:t>
            </w:r>
          </w:p>
        </w:tc>
        <w:tc>
          <w:tcPr>
            <w:tcW w:w="2835" w:type="dxa"/>
          </w:tcPr>
          <w:p w14:paraId="381E93A3" w14:textId="0D2307DC" w:rsidR="009C489E" w:rsidRDefault="009C05C3" w:rsidP="006F46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 w:rsidR="008B51B2">
              <w:rPr>
                <w:sz w:val="20"/>
              </w:rPr>
              <w:t xml:space="preserve"> </w:t>
            </w:r>
            <w:r w:rsidR="00DE219F">
              <w:rPr>
                <w:sz w:val="20"/>
              </w:rPr>
              <w:t>Tk.I</w:t>
            </w:r>
            <w:r>
              <w:rPr>
                <w:spacing w:val="-3"/>
                <w:sz w:val="20"/>
              </w:rPr>
              <w:t xml:space="preserve">/ </w:t>
            </w:r>
            <w:r>
              <w:rPr>
                <w:sz w:val="20"/>
              </w:rPr>
              <w:t>(III.</w:t>
            </w:r>
            <w:r w:rsidR="00DE219F">
              <w:rPr>
                <w:sz w:val="20"/>
              </w:rPr>
              <w:t>d</w:t>
            </w:r>
            <w:r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9C05C3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09" w:type="dxa"/>
          </w:tcPr>
          <w:p w14:paraId="27C5803E" w14:textId="728D474A" w:rsidR="00C60810" w:rsidRDefault="007C0642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Yudi</w:t>
            </w:r>
            <w:r w:rsidR="006F4653">
              <w:rPr>
                <w:sz w:val="20"/>
              </w:rPr>
              <w:t xml:space="preserve"> Ramadhani</w:t>
            </w:r>
            <w:r>
              <w:rPr>
                <w:sz w:val="20"/>
              </w:rPr>
              <w:t xml:space="preserve"> Putra</w:t>
            </w:r>
            <w:r w:rsidR="006F4653">
              <w:rPr>
                <w:sz w:val="20"/>
              </w:rPr>
              <w:t>,</w:t>
            </w:r>
            <w:r w:rsidR="00C60810" w:rsidRPr="00C60810">
              <w:rPr>
                <w:sz w:val="20"/>
              </w:rPr>
              <w:t xml:space="preserve"> A.Md</w:t>
            </w:r>
            <w:r>
              <w:rPr>
                <w:sz w:val="20"/>
              </w:rPr>
              <w:t>.</w:t>
            </w:r>
          </w:p>
          <w:p w14:paraId="4D50BDAC" w14:textId="7334332C" w:rsidR="00EE33FB" w:rsidRDefault="00EE33FB" w:rsidP="00DE219F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DE219F">
              <w:rPr>
                <w:sz w:val="20"/>
              </w:rPr>
              <w:t>199203</w:t>
            </w:r>
            <w:r w:rsidR="006F4653">
              <w:rPr>
                <w:sz w:val="20"/>
              </w:rPr>
              <w:t>2</w:t>
            </w:r>
            <w:r w:rsidR="00DE219F">
              <w:rPr>
                <w:sz w:val="20"/>
              </w:rPr>
              <w:t>3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202</w:t>
            </w:r>
            <w:r w:rsidR="00DE219F">
              <w:rPr>
                <w:sz w:val="20"/>
              </w:rPr>
              <w:t>203</w:t>
            </w:r>
            <w:r w:rsidR="00C60810">
              <w:rPr>
                <w:sz w:val="20"/>
              </w:rPr>
              <w:t xml:space="preserve"> </w:t>
            </w:r>
            <w:r w:rsidR="00DE219F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DE219F">
              <w:rPr>
                <w:sz w:val="20"/>
              </w:rPr>
              <w:t>003</w:t>
            </w:r>
          </w:p>
        </w:tc>
        <w:tc>
          <w:tcPr>
            <w:tcW w:w="4262" w:type="dxa"/>
          </w:tcPr>
          <w:p w14:paraId="2D8943C8" w14:textId="1D92F641" w:rsidR="00EE33FB" w:rsidRDefault="007C0642" w:rsidP="006F46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Pengelola Perkara</w:t>
            </w:r>
          </w:p>
        </w:tc>
        <w:tc>
          <w:tcPr>
            <w:tcW w:w="2835" w:type="dxa"/>
          </w:tcPr>
          <w:p w14:paraId="05FA1066" w14:textId="325A4046" w:rsidR="00EE33FB" w:rsidRDefault="009C05C3" w:rsidP="006F46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Pengatur / (II/</w:t>
            </w:r>
            <w:r w:rsidR="007C0642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9C05C3">
        <w:trPr>
          <w:trHeight w:val="709"/>
        </w:trPr>
        <w:tc>
          <w:tcPr>
            <w:tcW w:w="578" w:type="dxa"/>
          </w:tcPr>
          <w:p w14:paraId="72019E82" w14:textId="2FE19051" w:rsidR="009C489E" w:rsidRDefault="00CE77A2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C489E">
              <w:rPr>
                <w:sz w:val="20"/>
              </w:rPr>
              <w:t xml:space="preserve">. </w:t>
            </w:r>
          </w:p>
        </w:tc>
        <w:tc>
          <w:tcPr>
            <w:tcW w:w="3109" w:type="dxa"/>
          </w:tcPr>
          <w:p w14:paraId="5DF1D7E6" w14:textId="0FE263B8" w:rsidR="009C489E" w:rsidRDefault="00640E85" w:rsidP="00133A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Fahron Muhendra, S.H.</w:t>
            </w:r>
          </w:p>
        </w:tc>
        <w:tc>
          <w:tcPr>
            <w:tcW w:w="4262" w:type="dxa"/>
          </w:tcPr>
          <w:p w14:paraId="21F47144" w14:textId="50F4501D" w:rsidR="009C489E" w:rsidRDefault="00C60810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39AA07F5" w14:textId="1EAE9745" w:rsidR="009C489E" w:rsidRDefault="00C60810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bookmarkStart w:id="0" w:name="_GoBack"/>
      <w:bookmarkEnd w:id="0"/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005FA5CB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640E85">
        <w:rPr>
          <w:rFonts w:ascii="Cambria" w:hAnsi="Cambria" w:cs="Arial"/>
          <w:sz w:val="20"/>
          <w:szCs w:val="20"/>
          <w:lang w:val="en-ID"/>
        </w:rPr>
        <w:t>22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6F4653">
        <w:rPr>
          <w:rFonts w:ascii="Cambria" w:hAnsi="Cambria" w:cs="Arial"/>
          <w:sz w:val="20"/>
          <w:szCs w:val="20"/>
          <w:lang w:val="en-ID"/>
        </w:rPr>
        <w:t>Juli</w:t>
      </w:r>
      <w:proofErr w:type="spellEnd"/>
      <w:r w:rsidR="00C60810">
        <w:rPr>
          <w:rFonts w:ascii="Cambria" w:hAnsi="Cambria" w:cs="Arial"/>
          <w:sz w:val="20"/>
          <w:szCs w:val="20"/>
          <w:lang w:val="en-ID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0642BD72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3E52688A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Hamid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Pulungan</w:t>
      </w:r>
      <w:proofErr w:type="spellEnd"/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0C4215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54CD3"/>
    <w:rsid w:val="00357E8F"/>
    <w:rsid w:val="00387902"/>
    <w:rsid w:val="003901BE"/>
    <w:rsid w:val="004532E7"/>
    <w:rsid w:val="00485F3B"/>
    <w:rsid w:val="00491F17"/>
    <w:rsid w:val="004D25EA"/>
    <w:rsid w:val="005A43AE"/>
    <w:rsid w:val="005E3DC4"/>
    <w:rsid w:val="005F4BAC"/>
    <w:rsid w:val="00602C69"/>
    <w:rsid w:val="00617044"/>
    <w:rsid w:val="00640E85"/>
    <w:rsid w:val="00674392"/>
    <w:rsid w:val="00681975"/>
    <w:rsid w:val="006824B3"/>
    <w:rsid w:val="006B168F"/>
    <w:rsid w:val="006C5319"/>
    <w:rsid w:val="006F4653"/>
    <w:rsid w:val="007341CE"/>
    <w:rsid w:val="00740689"/>
    <w:rsid w:val="00740710"/>
    <w:rsid w:val="007434C3"/>
    <w:rsid w:val="007742D0"/>
    <w:rsid w:val="007A28C7"/>
    <w:rsid w:val="007B00AA"/>
    <w:rsid w:val="007B29D2"/>
    <w:rsid w:val="007C0642"/>
    <w:rsid w:val="007D5F4B"/>
    <w:rsid w:val="007E32F0"/>
    <w:rsid w:val="00817B74"/>
    <w:rsid w:val="008443C8"/>
    <w:rsid w:val="008655F4"/>
    <w:rsid w:val="00881B48"/>
    <w:rsid w:val="008A2A0D"/>
    <w:rsid w:val="008A5219"/>
    <w:rsid w:val="008A7A90"/>
    <w:rsid w:val="008B51B2"/>
    <w:rsid w:val="008C2D20"/>
    <w:rsid w:val="009A33CD"/>
    <w:rsid w:val="009C05C3"/>
    <w:rsid w:val="009C489E"/>
    <w:rsid w:val="009F2541"/>
    <w:rsid w:val="00A74D9A"/>
    <w:rsid w:val="00A80344"/>
    <w:rsid w:val="00A80B48"/>
    <w:rsid w:val="00A949C6"/>
    <w:rsid w:val="00AA568E"/>
    <w:rsid w:val="00AB75F3"/>
    <w:rsid w:val="00AD29F1"/>
    <w:rsid w:val="00AD7678"/>
    <w:rsid w:val="00B40155"/>
    <w:rsid w:val="00B40427"/>
    <w:rsid w:val="00B520F6"/>
    <w:rsid w:val="00B56E14"/>
    <w:rsid w:val="00B810C3"/>
    <w:rsid w:val="00B8788C"/>
    <w:rsid w:val="00BA3986"/>
    <w:rsid w:val="00BA46C3"/>
    <w:rsid w:val="00BC620C"/>
    <w:rsid w:val="00C50C1F"/>
    <w:rsid w:val="00C60810"/>
    <w:rsid w:val="00C820F4"/>
    <w:rsid w:val="00C94249"/>
    <w:rsid w:val="00CB5786"/>
    <w:rsid w:val="00CE77A2"/>
    <w:rsid w:val="00CF2CE6"/>
    <w:rsid w:val="00D1779C"/>
    <w:rsid w:val="00D37098"/>
    <w:rsid w:val="00D63C6F"/>
    <w:rsid w:val="00DE219F"/>
    <w:rsid w:val="00E046B4"/>
    <w:rsid w:val="00E13C7D"/>
    <w:rsid w:val="00E34E69"/>
    <w:rsid w:val="00EE33FB"/>
    <w:rsid w:val="00EE6B00"/>
    <w:rsid w:val="00F04560"/>
    <w:rsid w:val="00F26D48"/>
    <w:rsid w:val="00F309B5"/>
    <w:rsid w:val="00F430DF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3</cp:revision>
  <cp:lastPrinted>2024-07-22T08:13:00Z</cp:lastPrinted>
  <dcterms:created xsi:type="dcterms:W3CDTF">2024-07-22T08:14:00Z</dcterms:created>
  <dcterms:modified xsi:type="dcterms:W3CDTF">2024-07-22T08:17:00Z</dcterms:modified>
</cp:coreProperties>
</file>