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r>
        <w:rPr>
          <w:b/>
          <w:bCs/>
        </w:rPr>
        <w:t>NOMOR : W3-A</w:t>
      </w:r>
      <w:r w:rsidR="00081CDC">
        <w:rPr>
          <w:b/>
          <w:bCs/>
        </w:rPr>
        <w:t>/</w:t>
      </w:r>
      <w:r w:rsidR="007E42E2" w:rsidRPr="009E5A4F">
        <w:rPr>
          <w:b/>
          <w:bCs/>
        </w:rPr>
        <w:t xml:space="preserve"> </w:t>
      </w:r>
      <w:r w:rsidR="00D8521F" w:rsidRPr="009E5A4F">
        <w:rPr>
          <w:b/>
          <w:bCs/>
        </w:rPr>
        <w:t>/PL.01/</w:t>
      </w:r>
      <w:r w:rsidR="007E42E2">
        <w:rPr>
          <w:b/>
          <w:bCs/>
        </w:rPr>
        <w:t>IX</w:t>
      </w:r>
      <w:bookmarkStart w:id="0" w:name="_GoBack"/>
      <w:bookmarkEnd w:id="0"/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F05FF4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345B53">
              <w:rPr>
                <w:b/>
                <w:bCs/>
              </w:rPr>
              <w:t>Bambang</w:t>
            </w:r>
            <w:proofErr w:type="spellEnd"/>
            <w:r w:rsidR="00345B53">
              <w:rPr>
                <w:b/>
                <w:bCs/>
              </w:rPr>
              <w:t xml:space="preserve"> </w:t>
            </w:r>
            <w:proofErr w:type="spellStart"/>
            <w:r w:rsidR="00345B53">
              <w:rPr>
                <w:b/>
                <w:bCs/>
              </w:rPr>
              <w:t>Yusmanto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371E03">
              <w:rPr>
                <w:rFonts w:eastAsia="Times New Roman" w:cstheme="minorHAnsi"/>
                <w:b/>
                <w:bCs/>
                <w:color w:val="2C2C2C"/>
                <w:lang w:val="id-ID"/>
              </w:rPr>
              <w:t xml:space="preserve">   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 xml:space="preserve">      </w:t>
            </w:r>
            <w:r w:rsidR="0053783A">
              <w:rPr>
                <w:rFonts w:eastAsia="Times New Roman" w:cstheme="minorHAnsi"/>
                <w:b/>
                <w:bCs/>
                <w:color w:val="2C2C2C"/>
                <w:lang w:val="id-ID"/>
              </w:rPr>
              <w:t>1896.h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345B53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 xml:space="preserve">Drs. </w:t>
            </w:r>
            <w:proofErr w:type="spellStart"/>
            <w:r w:rsidR="00345B53">
              <w:rPr>
                <w:b/>
                <w:bCs/>
              </w:rPr>
              <w:t>Bahrul</w:t>
            </w:r>
            <w:proofErr w:type="spellEnd"/>
            <w:r w:rsidR="00345B53">
              <w:rPr>
                <w:b/>
                <w:bCs/>
              </w:rPr>
              <w:t xml:space="preserve"> </w:t>
            </w:r>
            <w:proofErr w:type="spellStart"/>
            <w:r w:rsidR="00345B53">
              <w:rPr>
                <w:b/>
                <w:bCs/>
              </w:rPr>
              <w:t>Amzah</w:t>
            </w:r>
            <w:proofErr w:type="spellEnd"/>
            <w:r w:rsidR="00345B53">
              <w:rPr>
                <w:b/>
                <w:bCs/>
              </w:rPr>
              <w:t xml:space="preserve">., </w:t>
            </w:r>
            <w:r w:rsidR="00517BBB">
              <w:rPr>
                <w:b/>
                <w:bCs/>
              </w:rPr>
              <w:t xml:space="preserve">MH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r w:rsidR="00D5232D">
              <w:t>Tinggi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53783A">
        <w:rPr>
          <w:lang w:val="id-ID"/>
        </w:rPr>
        <w:t>01</w:t>
      </w:r>
      <w:r w:rsidR="00B565A9">
        <w:rPr>
          <w:lang w:val="id-ID"/>
        </w:rPr>
        <w:t xml:space="preserve"> J</w:t>
      </w:r>
      <w:r w:rsidR="0053783A">
        <w:rPr>
          <w:lang w:val="id-ID"/>
        </w:rPr>
        <w:t>ul</w:t>
      </w:r>
      <w:r w:rsidR="00B565A9">
        <w:rPr>
          <w:lang w:val="id-ID"/>
        </w:rPr>
        <w:t>i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47</cp:revision>
  <cp:lastPrinted>2022-07-18T02:36:00Z</cp:lastPrinted>
  <dcterms:created xsi:type="dcterms:W3CDTF">2019-08-22T08:51:00Z</dcterms:created>
  <dcterms:modified xsi:type="dcterms:W3CDTF">2022-09-14T07:35:00Z</dcterms:modified>
</cp:coreProperties>
</file>