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X/2023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September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5.400.000,00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lima juta empat ratus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7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Oktober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10 0800401900 NO. 4A20-240E-1186-0245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