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4"/>
        <w:tblOverlap w:val="never"/>
        <w:tblW w:w="8027" w:type="dxa"/>
        <w:tblLayout w:type="fixed"/>
        <w:tblLook w:val="04A0" w:firstRow="1" w:lastRow="0" w:firstColumn="1" w:lastColumn="0" w:noHBand="0" w:noVBand="1"/>
      </w:tblPr>
      <w:tblGrid>
        <w:gridCol w:w="8027"/>
      </w:tblGrid>
      <w:tr w:rsidR="00157510" w:rsidRPr="00645FB7" w:rsidTr="00A6535C">
        <w:tc>
          <w:tcPr>
            <w:tcW w:w="8027" w:type="dxa"/>
          </w:tcPr>
          <w:p w:rsidR="00157510" w:rsidRDefault="00157510" w:rsidP="00A6535C">
            <w:pPr>
              <w:ind w:right="-302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525DBB">
              <w:rPr>
                <w:rFonts w:ascii="Bookman Old Style" w:hAnsi="Bookman Old Style"/>
                <w:b/>
                <w:sz w:val="26"/>
                <w:szCs w:val="26"/>
              </w:rPr>
              <w:t>MAHKAMAH AGUNG REPUBLIK INDONESIA</w:t>
            </w:r>
          </w:p>
          <w:p w:rsidR="00157510" w:rsidRDefault="00157510" w:rsidP="00A6535C">
            <w:pPr>
              <w:ind w:right="-302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DIREKTORAT JENDERAL BADAN PERADILAN AGAMA</w:t>
            </w:r>
          </w:p>
          <w:p w:rsidR="00157510" w:rsidRPr="00645FB7" w:rsidRDefault="00157510" w:rsidP="00A6535C">
            <w:pPr>
              <w:ind w:right="-302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PENGADILAN TINGGI AGAMA PADANG</w:t>
            </w:r>
          </w:p>
        </w:tc>
      </w:tr>
      <w:tr w:rsidR="00157510" w:rsidRPr="00645FB7" w:rsidTr="00A6535C">
        <w:tc>
          <w:tcPr>
            <w:tcW w:w="8027" w:type="dxa"/>
          </w:tcPr>
          <w:p w:rsidR="00157510" w:rsidRPr="00645FB7" w:rsidRDefault="00157510" w:rsidP="00A6535C">
            <w:pPr>
              <w:ind w:right="-302"/>
              <w:jc w:val="center"/>
              <w:rPr>
                <w:rFonts w:ascii="Bookman Old Style" w:hAnsi="Bookman Old Style"/>
                <w:spacing w:val="10"/>
                <w:sz w:val="18"/>
                <w:szCs w:val="18"/>
              </w:rPr>
            </w:pPr>
            <w:r w:rsidRPr="00645FB7"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Jl. By Pass Km 24 </w:t>
            </w:r>
            <w:proofErr w:type="spellStart"/>
            <w:r w:rsidRPr="00645FB7">
              <w:rPr>
                <w:rFonts w:ascii="Bookman Old Style" w:hAnsi="Bookman Old Style"/>
                <w:spacing w:val="10"/>
                <w:sz w:val="18"/>
                <w:szCs w:val="18"/>
              </w:rPr>
              <w:t>Anak</w:t>
            </w:r>
            <w:proofErr w:type="spellEnd"/>
            <w:r w:rsidRPr="00645FB7"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 Air, </w:t>
            </w:r>
            <w:proofErr w:type="spellStart"/>
            <w:r w:rsidRPr="00645FB7">
              <w:rPr>
                <w:rFonts w:ascii="Bookman Old Style" w:hAnsi="Bookman Old Style"/>
                <w:spacing w:val="10"/>
                <w:sz w:val="18"/>
                <w:szCs w:val="18"/>
              </w:rPr>
              <w:t>Batipuh</w:t>
            </w:r>
            <w:proofErr w:type="spellEnd"/>
            <w:r w:rsidRPr="00645FB7"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 Panjang, Koto </w:t>
            </w:r>
            <w:proofErr w:type="spellStart"/>
            <w:r w:rsidRPr="00645FB7">
              <w:rPr>
                <w:rFonts w:ascii="Bookman Old Style" w:hAnsi="Bookman Old Style"/>
                <w:spacing w:val="10"/>
                <w:sz w:val="18"/>
                <w:szCs w:val="18"/>
              </w:rPr>
              <w:t>Tangah</w:t>
            </w:r>
            <w:proofErr w:type="spellEnd"/>
          </w:p>
          <w:p w:rsidR="00157510" w:rsidRPr="00645FB7" w:rsidRDefault="00157510" w:rsidP="00A6535C">
            <w:pPr>
              <w:ind w:right="-30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Padang, Sumatera Barat 25171 </w:t>
            </w:r>
            <w:hyperlink r:id="rId7" w:history="1">
              <w:r w:rsidRPr="00292CF6">
                <w:rPr>
                  <w:rStyle w:val="Hyperlink"/>
                  <w:rFonts w:ascii="Bookman Old Style" w:hAnsi="Bookman Old Style"/>
                  <w:spacing w:val="10"/>
                  <w:sz w:val="18"/>
                  <w:szCs w:val="18"/>
                </w:rPr>
                <w:t>www.pta-padang.go.id</w:t>
              </w:r>
            </w:hyperlink>
            <w:r>
              <w:rPr>
                <w:rFonts w:ascii="Bookman Old Style" w:hAnsi="Bookman Old Style"/>
                <w:spacing w:val="10"/>
                <w:sz w:val="18"/>
                <w:szCs w:val="18"/>
              </w:rPr>
              <w:t>, admin@pta-padang.go.id</w:t>
            </w:r>
          </w:p>
        </w:tc>
      </w:tr>
    </w:tbl>
    <w:p w:rsidR="00294DAD" w:rsidRDefault="0015751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70E920F2" wp14:editId="3AA1CF83">
            <wp:simplePos x="0" y="0"/>
            <wp:positionH relativeFrom="page">
              <wp:posOffset>824865</wp:posOffset>
            </wp:positionH>
            <wp:positionV relativeFrom="page">
              <wp:posOffset>768985</wp:posOffset>
            </wp:positionV>
            <wp:extent cx="762000" cy="8705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AD" w:rsidRDefault="00294DAD" w:rsidP="00157510">
      <w:pPr>
        <w:jc w:val="center"/>
        <w:rPr>
          <w:rFonts w:ascii="Bookman Old Style" w:hAnsi="Bookman Old Style"/>
          <w:b/>
          <w:lang w:val="id-ID"/>
        </w:rPr>
      </w:pPr>
    </w:p>
    <w:p w:rsidR="00157510" w:rsidRDefault="00157510" w:rsidP="00157510">
      <w:pPr>
        <w:jc w:val="center"/>
        <w:rPr>
          <w:rFonts w:ascii="Bookman Old Style" w:hAnsi="Bookman Old Style"/>
          <w:b/>
          <w:lang w:val="id-ID"/>
        </w:rPr>
      </w:pPr>
    </w:p>
    <w:p w:rsidR="00157510" w:rsidRDefault="00157510" w:rsidP="00157510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9555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191135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BC570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05pt" to="498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D2KQgtsAAAAHAQAADwAAAGRycy9k&#10;b3ducmV2LnhtbEyOTW7CMBCF95W4gzVI3YENiLYJcRBFQgi1m9IeYIiHJCIeR7GB5PZ11UW7fD96&#10;78vWvW3EjTpfO9YwmyoQxIUzNZcavj53kxcQPiAbbByThoE8rPPRQ4apcXf+oNsxlCKOsE9RQxVC&#10;m0rpi4os+qlriWN2dp3FEGVXStPhPY7bRs6VepIWa44PFba0rai4HK9WQ7io/dsr7oaNPR9CmQyF&#10;PWzftX4c95sViEB9+CvDD35EhzwyndyVjReNhskiFjUs1AxEjJPkeQni9GvIPJP/+fNvAA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A9ikIL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294DAD" w:rsidRPr="00157510" w:rsidRDefault="0095555B">
      <w:pPr>
        <w:tabs>
          <w:tab w:val="left" w:pos="1148"/>
          <w:tab w:val="right" w:pos="9981"/>
        </w:tabs>
        <w:jc w:val="both"/>
        <w:rPr>
          <w:rFonts w:ascii="Arial" w:eastAsiaTheme="minorEastAsia" w:hAnsi="Arial" w:cs="Arial"/>
          <w:lang w:eastAsia="zh-CN"/>
        </w:rPr>
      </w:pPr>
      <w:proofErr w:type="spellStart"/>
      <w:r w:rsidRPr="00157510">
        <w:rPr>
          <w:rFonts w:ascii="Arial" w:hAnsi="Arial" w:cs="Arial"/>
        </w:rPr>
        <w:t>Nomor</w:t>
      </w:r>
      <w:proofErr w:type="spellEnd"/>
      <w:r w:rsidRPr="00157510">
        <w:rPr>
          <w:rFonts w:ascii="Arial" w:hAnsi="Arial" w:cs="Arial"/>
        </w:rPr>
        <w:tab/>
        <w:t>:</w:t>
      </w:r>
      <w:r w:rsidR="002A16FB" w:rsidRPr="00157510">
        <w:rPr>
          <w:rFonts w:ascii="Arial" w:hAnsi="Arial" w:cs="Arial"/>
        </w:rPr>
        <w:t xml:space="preserve">  </w:t>
      </w:r>
      <w:r w:rsidR="00214A97" w:rsidRPr="00157510">
        <w:rPr>
          <w:rFonts w:ascii="Arial" w:eastAsia="Arial" w:hAnsi="Arial" w:cs="Arial"/>
        </w:rPr>
        <w:t xml:space="preserve">       </w:t>
      </w:r>
      <w:r w:rsidR="00073BC3">
        <w:rPr>
          <w:rFonts w:ascii="Arial" w:eastAsia="Arial" w:hAnsi="Arial" w:cs="Arial"/>
        </w:rPr>
        <w:t xml:space="preserve"> </w:t>
      </w:r>
      <w:r w:rsidR="002A16FB" w:rsidRPr="00073BC3">
        <w:rPr>
          <w:rFonts w:ascii="Arial" w:eastAsia="Arial" w:hAnsi="Arial" w:cs="Arial"/>
          <w:color w:val="FF0000"/>
        </w:rPr>
        <w:t>/KPTA.W3-A/</w:t>
      </w:r>
      <w:r w:rsidR="00214A97" w:rsidRPr="00073BC3">
        <w:rPr>
          <w:rFonts w:ascii="Arial" w:eastAsia="Arial" w:hAnsi="Arial" w:cs="Arial"/>
          <w:color w:val="FF0000"/>
        </w:rPr>
        <w:t>OT</w:t>
      </w:r>
      <w:r w:rsidR="002A16FB" w:rsidRPr="00073BC3">
        <w:rPr>
          <w:rFonts w:ascii="Arial" w:eastAsia="Arial" w:hAnsi="Arial" w:cs="Arial"/>
          <w:color w:val="FF0000"/>
        </w:rPr>
        <w:t>1.6/X/2023</w:t>
      </w:r>
      <w:r w:rsidRPr="00157510">
        <w:rPr>
          <w:rFonts w:ascii="Arial" w:hAnsi="Arial" w:cs="Arial"/>
        </w:rPr>
        <w:tab/>
      </w:r>
      <w:r w:rsidRPr="00157510">
        <w:rPr>
          <w:rFonts w:ascii="Arial" w:hAnsi="Arial" w:cs="Arial"/>
          <w:lang w:val="zh-CN"/>
        </w:rPr>
        <w:t xml:space="preserve">   </w:t>
      </w:r>
      <w:r w:rsidR="00157510" w:rsidRPr="00157510">
        <w:rPr>
          <w:rFonts w:ascii="Arial" w:hAnsi="Arial" w:cs="Arial"/>
        </w:rPr>
        <w:t xml:space="preserve">10 </w:t>
      </w:r>
      <w:proofErr w:type="spellStart"/>
      <w:r w:rsidR="00157510" w:rsidRPr="00157510">
        <w:rPr>
          <w:rFonts w:ascii="Arial" w:hAnsi="Arial" w:cs="Arial"/>
        </w:rPr>
        <w:t>Oktober</w:t>
      </w:r>
      <w:proofErr w:type="spellEnd"/>
      <w:r w:rsidRPr="00157510">
        <w:rPr>
          <w:rFonts w:ascii="Arial" w:hAnsi="Arial" w:cs="Arial"/>
          <w:lang w:val="zh-CN"/>
        </w:rPr>
        <w:t xml:space="preserve"> </w:t>
      </w:r>
      <w:r w:rsidRPr="00157510">
        <w:rPr>
          <w:rFonts w:ascii="Arial" w:hAnsi="Arial" w:cs="Arial"/>
        </w:rPr>
        <w:t>20</w:t>
      </w:r>
      <w:r w:rsidRPr="00157510">
        <w:rPr>
          <w:rFonts w:ascii="Arial" w:hAnsi="Arial" w:cs="Arial"/>
          <w:lang w:val="zh-CN"/>
        </w:rPr>
        <w:t>2</w:t>
      </w:r>
      <w:r w:rsidR="00C57FC1" w:rsidRPr="00157510">
        <w:rPr>
          <w:rFonts w:ascii="Arial" w:hAnsi="Arial" w:cs="Arial"/>
        </w:rPr>
        <w:t>3</w:t>
      </w:r>
    </w:p>
    <w:p w:rsidR="00294DAD" w:rsidRPr="00157510" w:rsidRDefault="0095555B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 w:rsidRPr="00157510">
        <w:rPr>
          <w:rFonts w:ascii="Arial" w:hAnsi="Arial" w:cs="Arial"/>
        </w:rPr>
        <w:t>Lampiran</w:t>
      </w:r>
      <w:r w:rsidRPr="00157510">
        <w:rPr>
          <w:rFonts w:ascii="Arial" w:hAnsi="Arial" w:cs="Arial"/>
        </w:rPr>
        <w:tab/>
        <w:t xml:space="preserve">:  </w:t>
      </w:r>
      <w:r w:rsidR="006C5381" w:rsidRPr="00157510">
        <w:rPr>
          <w:rFonts w:ascii="Arial" w:hAnsi="Arial" w:cs="Arial"/>
        </w:rPr>
        <w:t>-</w:t>
      </w:r>
    </w:p>
    <w:p w:rsidR="00294DAD" w:rsidRPr="00157510" w:rsidRDefault="0095555B" w:rsidP="00157510">
      <w:pPr>
        <w:tabs>
          <w:tab w:val="left" w:pos="1148"/>
          <w:tab w:val="left" w:pos="1320"/>
        </w:tabs>
        <w:ind w:left="1320" w:right="4818" w:hanging="1320"/>
        <w:rPr>
          <w:rFonts w:ascii="Arial" w:hAnsi="Arial" w:cs="Arial"/>
        </w:rPr>
      </w:pPr>
      <w:proofErr w:type="spellStart"/>
      <w:r w:rsidRPr="00157510">
        <w:rPr>
          <w:rFonts w:ascii="Arial" w:hAnsi="Arial" w:cs="Arial"/>
        </w:rPr>
        <w:t>Perihal</w:t>
      </w:r>
      <w:proofErr w:type="spellEnd"/>
      <w:r w:rsidRPr="00157510">
        <w:rPr>
          <w:rFonts w:ascii="Arial" w:hAnsi="Arial" w:cs="Arial"/>
        </w:rPr>
        <w:tab/>
        <w:t>:</w:t>
      </w:r>
      <w:r w:rsidRPr="00157510">
        <w:rPr>
          <w:rFonts w:ascii="Arial" w:hAnsi="Arial" w:cs="Arial"/>
        </w:rPr>
        <w:tab/>
      </w:r>
      <w:proofErr w:type="spellStart"/>
      <w:r w:rsidR="00157510" w:rsidRPr="00157510">
        <w:rPr>
          <w:rFonts w:ascii="Arial" w:hAnsi="Arial" w:cs="Arial"/>
        </w:rPr>
        <w:t>Revisi</w:t>
      </w:r>
      <w:proofErr w:type="spellEnd"/>
      <w:r w:rsidR="00157510" w:rsidRPr="00157510">
        <w:rPr>
          <w:rFonts w:ascii="Arial" w:hAnsi="Arial" w:cs="Arial"/>
        </w:rPr>
        <w:t xml:space="preserve"> </w:t>
      </w:r>
      <w:proofErr w:type="spellStart"/>
      <w:r w:rsidR="00157510" w:rsidRPr="00157510">
        <w:rPr>
          <w:rFonts w:ascii="Arial" w:hAnsi="Arial" w:cs="Arial"/>
        </w:rPr>
        <w:t>Perjanjian</w:t>
      </w:r>
      <w:proofErr w:type="spellEnd"/>
      <w:r w:rsidR="00157510" w:rsidRPr="00157510">
        <w:rPr>
          <w:rFonts w:ascii="Arial" w:hAnsi="Arial" w:cs="Arial"/>
        </w:rPr>
        <w:t xml:space="preserve"> </w:t>
      </w:r>
      <w:proofErr w:type="spellStart"/>
      <w:r w:rsidR="00157510" w:rsidRPr="00157510">
        <w:rPr>
          <w:rFonts w:ascii="Arial" w:hAnsi="Arial" w:cs="Arial"/>
        </w:rPr>
        <w:t>Kinerja</w:t>
      </w:r>
      <w:proofErr w:type="spellEnd"/>
      <w:r w:rsidR="00157510" w:rsidRPr="00157510">
        <w:rPr>
          <w:rFonts w:ascii="Arial" w:hAnsi="Arial" w:cs="Arial"/>
        </w:rPr>
        <w:t xml:space="preserve"> (PK) </w:t>
      </w:r>
      <w:proofErr w:type="spellStart"/>
      <w:r w:rsidR="00157510" w:rsidRPr="00157510">
        <w:rPr>
          <w:rFonts w:ascii="Arial" w:hAnsi="Arial" w:cs="Arial"/>
        </w:rPr>
        <w:t>Tahun</w:t>
      </w:r>
      <w:proofErr w:type="spellEnd"/>
      <w:r w:rsidR="00157510" w:rsidRPr="00157510">
        <w:rPr>
          <w:rFonts w:ascii="Arial" w:hAnsi="Arial" w:cs="Arial"/>
        </w:rPr>
        <w:t xml:space="preserve"> 2023 PTA Padang</w:t>
      </w:r>
      <w:r w:rsidR="009104BF" w:rsidRPr="00157510">
        <w:rPr>
          <w:rFonts w:ascii="Arial" w:hAnsi="Arial" w:cs="Arial"/>
        </w:rPr>
        <w:t xml:space="preserve"> </w:t>
      </w:r>
    </w:p>
    <w:p w:rsidR="00294DAD" w:rsidRPr="00157510" w:rsidRDefault="00294DAD">
      <w:pPr>
        <w:spacing w:line="360" w:lineRule="auto"/>
        <w:ind w:left="1260"/>
        <w:jc w:val="both"/>
        <w:rPr>
          <w:rFonts w:ascii="Arial" w:hAnsi="Arial" w:cs="Arial"/>
        </w:rPr>
      </w:pPr>
    </w:p>
    <w:p w:rsidR="00157510" w:rsidRPr="00157510" w:rsidRDefault="00157510" w:rsidP="00157510">
      <w:pPr>
        <w:spacing w:line="360" w:lineRule="auto"/>
        <w:jc w:val="both"/>
        <w:rPr>
          <w:rFonts w:ascii="Arial" w:hAnsi="Arial" w:cs="Arial"/>
        </w:rPr>
      </w:pPr>
    </w:p>
    <w:p w:rsidR="00157510" w:rsidRPr="00157510" w:rsidRDefault="0095555B" w:rsidP="00157510">
      <w:pPr>
        <w:spacing w:line="360" w:lineRule="auto"/>
        <w:jc w:val="both"/>
        <w:rPr>
          <w:rFonts w:ascii="Arial" w:hAnsi="Arial" w:cs="Arial"/>
        </w:rPr>
      </w:pPr>
      <w:proofErr w:type="spellStart"/>
      <w:r w:rsidRPr="00157510">
        <w:rPr>
          <w:rFonts w:ascii="Arial" w:hAnsi="Arial" w:cs="Arial"/>
        </w:rPr>
        <w:t>Yth</w:t>
      </w:r>
      <w:proofErr w:type="spellEnd"/>
      <w:r w:rsidRPr="00157510">
        <w:rPr>
          <w:rFonts w:ascii="Arial" w:hAnsi="Arial" w:cs="Arial"/>
        </w:rPr>
        <w:t xml:space="preserve">. </w:t>
      </w:r>
    </w:p>
    <w:p w:rsidR="00294DAD" w:rsidRPr="00157510" w:rsidRDefault="00157510" w:rsidP="00157510">
      <w:pPr>
        <w:spacing w:line="360" w:lineRule="auto"/>
        <w:jc w:val="both"/>
        <w:rPr>
          <w:rFonts w:ascii="Arial" w:hAnsi="Arial" w:cs="Arial"/>
        </w:rPr>
      </w:pPr>
      <w:proofErr w:type="spellStart"/>
      <w:r w:rsidRPr="00157510">
        <w:rPr>
          <w:rFonts w:ascii="Arial" w:hAnsi="Arial" w:cs="Arial"/>
        </w:rPr>
        <w:t>Ketua</w:t>
      </w:r>
      <w:proofErr w:type="spellEnd"/>
      <w:r w:rsidRPr="00157510">
        <w:rPr>
          <w:rFonts w:ascii="Arial" w:hAnsi="Arial" w:cs="Arial"/>
        </w:rPr>
        <w:t xml:space="preserve"> </w:t>
      </w:r>
      <w:proofErr w:type="spellStart"/>
      <w:r w:rsidRPr="00157510">
        <w:rPr>
          <w:rFonts w:ascii="Arial" w:hAnsi="Arial" w:cs="Arial"/>
        </w:rPr>
        <w:t>Pengadilan</w:t>
      </w:r>
      <w:proofErr w:type="spellEnd"/>
      <w:r w:rsidRPr="00157510">
        <w:rPr>
          <w:rFonts w:ascii="Arial" w:hAnsi="Arial" w:cs="Arial"/>
        </w:rPr>
        <w:t xml:space="preserve"> Tinggi Agama Padang</w:t>
      </w:r>
      <w:r w:rsidR="0095555B" w:rsidRPr="00157510">
        <w:rPr>
          <w:rFonts w:ascii="Arial" w:hAnsi="Arial" w:cs="Arial"/>
          <w:lang w:val="id-ID"/>
        </w:rPr>
        <w:tab/>
      </w:r>
    </w:p>
    <w:p w:rsidR="00294DAD" w:rsidRPr="00157510" w:rsidRDefault="00294DAD">
      <w:pPr>
        <w:ind w:left="2127" w:hanging="567"/>
        <w:rPr>
          <w:rFonts w:ascii="Arial" w:hAnsi="Arial" w:cs="Arial"/>
          <w:lang w:val="id-ID"/>
        </w:rPr>
      </w:pPr>
    </w:p>
    <w:p w:rsidR="00157510" w:rsidRDefault="00157510" w:rsidP="00C57FC1">
      <w:pPr>
        <w:spacing w:line="336" w:lineRule="auto"/>
        <w:ind w:firstLine="567"/>
        <w:jc w:val="both"/>
        <w:rPr>
          <w:rFonts w:ascii="Arial" w:hAnsi="Arial" w:cs="Arial"/>
        </w:rPr>
      </w:pPr>
    </w:p>
    <w:p w:rsidR="00294DAD" w:rsidRPr="00157510" w:rsidRDefault="00157510" w:rsidP="00C57FC1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monev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pencapaian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kinerja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didapatkan</w:t>
      </w:r>
      <w:proofErr w:type="spellEnd"/>
      <w:r w:rsidR="00073BC3">
        <w:rPr>
          <w:rFonts w:ascii="Arial" w:hAnsi="Arial" w:cs="Arial"/>
        </w:rPr>
        <w:t xml:space="preserve"> target yang </w:t>
      </w:r>
      <w:proofErr w:type="spellStart"/>
      <w:r w:rsidR="00073BC3">
        <w:rPr>
          <w:rFonts w:ascii="Arial" w:hAnsi="Arial" w:cs="Arial"/>
        </w:rPr>
        <w:t>tidak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dapat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dipenuhi</w:t>
      </w:r>
      <w:proofErr w:type="spellEnd"/>
      <w:r w:rsidR="00727258">
        <w:rPr>
          <w:rFonts w:ascii="Arial" w:hAnsi="Arial" w:cs="Arial"/>
        </w:rPr>
        <w:t xml:space="preserve"> pada salah </w:t>
      </w:r>
      <w:proofErr w:type="spellStart"/>
      <w:r w:rsidR="00727258">
        <w:rPr>
          <w:rFonts w:ascii="Arial" w:hAnsi="Arial" w:cs="Arial"/>
        </w:rPr>
        <w:t>satu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indikator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utama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yakni</w:t>
      </w:r>
      <w:proofErr w:type="spellEnd"/>
      <w:r w:rsidR="00727258">
        <w:rPr>
          <w:rFonts w:ascii="Arial" w:hAnsi="Arial" w:cs="Arial"/>
        </w:rPr>
        <w:t xml:space="preserve"> “</w:t>
      </w:r>
      <w:proofErr w:type="spellStart"/>
      <w:r w:rsidR="00727258">
        <w:rPr>
          <w:rFonts w:ascii="Arial" w:hAnsi="Arial" w:cs="Arial"/>
        </w:rPr>
        <w:t>persentase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perkara</w:t>
      </w:r>
      <w:proofErr w:type="spellEnd"/>
      <w:r w:rsidR="00727258">
        <w:rPr>
          <w:rFonts w:ascii="Arial" w:hAnsi="Arial" w:cs="Arial"/>
        </w:rPr>
        <w:t xml:space="preserve"> yang </w:t>
      </w:r>
      <w:proofErr w:type="spellStart"/>
      <w:r w:rsidR="00727258">
        <w:rPr>
          <w:rFonts w:ascii="Arial" w:hAnsi="Arial" w:cs="Arial"/>
        </w:rPr>
        <w:t>tidak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mengajukan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upaya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hukum</w:t>
      </w:r>
      <w:proofErr w:type="spellEnd"/>
      <w:r w:rsidR="00727258">
        <w:rPr>
          <w:rFonts w:ascii="Arial" w:hAnsi="Arial" w:cs="Arial"/>
        </w:rPr>
        <w:t xml:space="preserve"> </w:t>
      </w:r>
      <w:proofErr w:type="spellStart"/>
      <w:r w:rsidR="00727258">
        <w:rPr>
          <w:rFonts w:ascii="Arial" w:hAnsi="Arial" w:cs="Arial"/>
        </w:rPr>
        <w:t>kasasi</w:t>
      </w:r>
      <w:proofErr w:type="spellEnd"/>
      <w:r w:rsidR="00727258">
        <w:rPr>
          <w:rFonts w:ascii="Arial" w:hAnsi="Arial" w:cs="Arial"/>
        </w:rPr>
        <w:t>”.</w:t>
      </w:r>
      <w:r w:rsidR="00073BC3">
        <w:rPr>
          <w:rFonts w:ascii="Arial" w:hAnsi="Arial" w:cs="Arial"/>
        </w:rPr>
        <w:t xml:space="preserve"> Hal </w:t>
      </w:r>
      <w:proofErr w:type="spellStart"/>
      <w:r w:rsidR="00073BC3">
        <w:rPr>
          <w:rFonts w:ascii="Arial" w:hAnsi="Arial" w:cs="Arial"/>
        </w:rPr>
        <w:t>ini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dapat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mengakibatkan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tidak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terpenuhinya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syarat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Pengadilan</w:t>
      </w:r>
      <w:proofErr w:type="spellEnd"/>
      <w:r w:rsidR="00073BC3">
        <w:rPr>
          <w:rFonts w:ascii="Arial" w:hAnsi="Arial" w:cs="Arial"/>
        </w:rPr>
        <w:t xml:space="preserve"> Tinggi Agama Padang </w:t>
      </w:r>
      <w:proofErr w:type="spellStart"/>
      <w:r w:rsidR="00073BC3">
        <w:rPr>
          <w:rFonts w:ascii="Arial" w:hAnsi="Arial" w:cs="Arial"/>
        </w:rPr>
        <w:t>untuk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meraih</w:t>
      </w:r>
      <w:proofErr w:type="spellEnd"/>
      <w:r w:rsidR="00073BC3">
        <w:rPr>
          <w:rFonts w:ascii="Arial" w:hAnsi="Arial" w:cs="Arial"/>
        </w:rPr>
        <w:t xml:space="preserve"> Wilayah </w:t>
      </w:r>
      <w:proofErr w:type="spellStart"/>
      <w:r w:rsidR="00073BC3">
        <w:rPr>
          <w:rFonts w:ascii="Arial" w:hAnsi="Arial" w:cs="Arial"/>
        </w:rPr>
        <w:t>Birokrasi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Bersih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Melayani</w:t>
      </w:r>
      <w:proofErr w:type="spellEnd"/>
      <w:r w:rsidR="00073BC3">
        <w:rPr>
          <w:rFonts w:ascii="Arial" w:hAnsi="Arial" w:cs="Arial"/>
        </w:rPr>
        <w:t xml:space="preserve"> (WBBM) </w:t>
      </w:r>
      <w:proofErr w:type="spellStart"/>
      <w:r w:rsidR="00073BC3">
        <w:rPr>
          <w:rFonts w:ascii="Arial" w:hAnsi="Arial" w:cs="Arial"/>
        </w:rPr>
        <w:t>tahun</w:t>
      </w:r>
      <w:proofErr w:type="spellEnd"/>
      <w:r w:rsidR="00073BC3">
        <w:rPr>
          <w:rFonts w:ascii="Arial" w:hAnsi="Arial" w:cs="Arial"/>
        </w:rPr>
        <w:t xml:space="preserve"> 2024. </w:t>
      </w:r>
      <w:proofErr w:type="spellStart"/>
      <w:r w:rsidR="00073BC3">
        <w:rPr>
          <w:rFonts w:ascii="Arial" w:hAnsi="Arial" w:cs="Arial"/>
        </w:rPr>
        <w:t>Untuk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itu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dibutuhkan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revisi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Perjanjian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Kinerja</w:t>
      </w:r>
      <w:proofErr w:type="spellEnd"/>
      <w:r w:rsidR="00073BC3">
        <w:rPr>
          <w:rFonts w:ascii="Arial" w:hAnsi="Arial" w:cs="Arial"/>
        </w:rPr>
        <w:t xml:space="preserve"> (PK) 2023 </w:t>
      </w:r>
      <w:proofErr w:type="spellStart"/>
      <w:r w:rsidR="00073BC3">
        <w:rPr>
          <w:rFonts w:ascii="Arial" w:hAnsi="Arial" w:cs="Arial"/>
        </w:rPr>
        <w:t>antara</w:t>
      </w:r>
      <w:proofErr w:type="spellEnd"/>
      <w:r w:rsidR="00073BC3">
        <w:rPr>
          <w:rFonts w:ascii="Arial" w:hAnsi="Arial" w:cs="Arial"/>
        </w:rPr>
        <w:t xml:space="preserve"> PTA </w:t>
      </w:r>
      <w:proofErr w:type="spellStart"/>
      <w:r w:rsidR="00073BC3">
        <w:rPr>
          <w:rFonts w:ascii="Arial" w:hAnsi="Arial" w:cs="Arial"/>
        </w:rPr>
        <w:t>padang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dengan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Dirjen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Badilag</w:t>
      </w:r>
      <w:proofErr w:type="spellEnd"/>
      <w:r w:rsidR="00073BC3">
        <w:rPr>
          <w:rFonts w:ascii="Arial" w:hAnsi="Arial" w:cs="Arial"/>
        </w:rPr>
        <w:t xml:space="preserve">, </w:t>
      </w:r>
      <w:proofErr w:type="spellStart"/>
      <w:r w:rsidR="00073BC3">
        <w:rPr>
          <w:rFonts w:ascii="Arial" w:hAnsi="Arial" w:cs="Arial"/>
        </w:rPr>
        <w:t>sebagaimana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revisi</w:t>
      </w:r>
      <w:proofErr w:type="spellEnd"/>
      <w:r w:rsidR="00073BC3">
        <w:rPr>
          <w:rFonts w:ascii="Arial" w:hAnsi="Arial" w:cs="Arial"/>
        </w:rPr>
        <w:t xml:space="preserve"> PK 2023 </w:t>
      </w:r>
      <w:proofErr w:type="spellStart"/>
      <w:r w:rsidR="00073BC3">
        <w:rPr>
          <w:rFonts w:ascii="Arial" w:hAnsi="Arial" w:cs="Arial"/>
        </w:rPr>
        <w:t>berikut</w:t>
      </w:r>
      <w:proofErr w:type="spellEnd"/>
      <w:r w:rsidR="00073BC3">
        <w:rPr>
          <w:rFonts w:ascii="Arial" w:hAnsi="Arial" w:cs="Arial"/>
        </w:rPr>
        <w:t xml:space="preserve"> </w:t>
      </w:r>
      <w:proofErr w:type="spellStart"/>
      <w:r w:rsidR="00073BC3">
        <w:rPr>
          <w:rFonts w:ascii="Arial" w:hAnsi="Arial" w:cs="Arial"/>
        </w:rPr>
        <w:t>terlampir</w:t>
      </w:r>
      <w:proofErr w:type="spellEnd"/>
      <w:r w:rsidR="00073BC3">
        <w:rPr>
          <w:rFonts w:ascii="Arial" w:hAnsi="Arial" w:cs="Arial"/>
        </w:rPr>
        <w:t>.</w:t>
      </w:r>
    </w:p>
    <w:p w:rsidR="00294DAD" w:rsidRPr="00157510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157510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157510">
        <w:rPr>
          <w:rFonts w:ascii="Arial" w:hAnsi="Arial" w:cs="Arial"/>
          <w:lang w:val="id-ID"/>
        </w:rPr>
        <w:t>Demikian</w:t>
      </w:r>
      <w:r w:rsidRPr="00157510">
        <w:rPr>
          <w:rFonts w:ascii="Arial" w:hAnsi="Arial" w:cs="Arial"/>
          <w:lang w:val="zh-CN"/>
        </w:rPr>
        <w:t xml:space="preserve"> disampaikan</w:t>
      </w:r>
      <w:r w:rsidRPr="00157510">
        <w:rPr>
          <w:rFonts w:ascii="Arial" w:hAnsi="Arial" w:cs="Arial"/>
          <w:lang w:val="id-ID"/>
        </w:rPr>
        <w:t>,</w:t>
      </w:r>
      <w:r w:rsidR="00073BC3">
        <w:rPr>
          <w:rFonts w:ascii="Arial" w:hAnsi="Arial" w:cs="Arial"/>
        </w:rPr>
        <w:t xml:space="preserve"> </w:t>
      </w:r>
      <w:r w:rsidRPr="00157510">
        <w:rPr>
          <w:rFonts w:ascii="Arial" w:hAnsi="Arial" w:cs="Arial"/>
          <w:lang w:val="id-ID"/>
        </w:rPr>
        <w:t>terima kasih.</w:t>
      </w:r>
    </w:p>
    <w:p w:rsidR="00294DAD" w:rsidRDefault="0095555B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r w:rsidRPr="00157510">
        <w:rPr>
          <w:rFonts w:ascii="Arial" w:hAnsi="Arial" w:cs="Arial"/>
          <w:lang w:val="id-ID"/>
        </w:rPr>
        <w:t xml:space="preserve">   </w:t>
      </w:r>
      <w:r w:rsidRPr="00157510">
        <w:rPr>
          <w:rFonts w:ascii="Arial" w:hAnsi="Arial" w:cs="Arial"/>
          <w:lang w:val="id-ID"/>
        </w:rPr>
        <w:tab/>
      </w:r>
    </w:p>
    <w:p w:rsidR="00727258" w:rsidRDefault="00727258" w:rsidP="00C57FC1">
      <w:pPr>
        <w:spacing w:line="360" w:lineRule="auto"/>
        <w:ind w:firstLine="426"/>
        <w:rPr>
          <w:rFonts w:ascii="Arial" w:hAnsi="Arial" w:cs="Arial"/>
          <w:lang w:val="id-ID"/>
        </w:rPr>
      </w:pPr>
    </w:p>
    <w:p w:rsidR="00727258" w:rsidRPr="00157510" w:rsidRDefault="00727258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bookmarkStart w:id="0" w:name="_GoBack"/>
      <w:bookmarkEnd w:id="0"/>
    </w:p>
    <w:p w:rsidR="00294DAD" w:rsidRPr="00157510" w:rsidRDefault="0095555B" w:rsidP="00157510">
      <w:pPr>
        <w:ind w:left="7371"/>
        <w:rPr>
          <w:rFonts w:ascii="Arial" w:hAnsi="Arial" w:cs="Arial"/>
          <w:bCs/>
          <w:lang w:val="id-ID"/>
        </w:rPr>
      </w:pPr>
      <w:r w:rsidRPr="00157510">
        <w:rPr>
          <w:rFonts w:ascii="Arial" w:hAnsi="Arial" w:cs="Arial"/>
          <w:bCs/>
          <w:lang w:val="id-ID"/>
        </w:rPr>
        <w:t>Wassalam</w:t>
      </w:r>
    </w:p>
    <w:p w:rsidR="00294DAD" w:rsidRPr="00157510" w:rsidRDefault="00157510" w:rsidP="00157510">
      <w:pPr>
        <w:ind w:left="7371"/>
        <w:rPr>
          <w:rFonts w:ascii="Arial" w:hAnsi="Arial" w:cs="Arial"/>
        </w:rPr>
      </w:pPr>
      <w:proofErr w:type="spellStart"/>
      <w:r w:rsidRPr="00157510">
        <w:rPr>
          <w:rFonts w:ascii="Arial" w:hAnsi="Arial" w:cs="Arial"/>
        </w:rPr>
        <w:t>Sekretaris</w:t>
      </w:r>
      <w:proofErr w:type="spellEnd"/>
      <w:r w:rsidR="006C5381" w:rsidRPr="00157510">
        <w:rPr>
          <w:rFonts w:ascii="Arial" w:hAnsi="Arial" w:cs="Arial"/>
        </w:rPr>
        <w:t>,</w:t>
      </w:r>
    </w:p>
    <w:p w:rsidR="00294DAD" w:rsidRPr="00157510" w:rsidRDefault="00294DAD" w:rsidP="00157510">
      <w:pPr>
        <w:ind w:left="7371"/>
        <w:rPr>
          <w:rFonts w:ascii="Arial" w:hAnsi="Arial" w:cs="Arial"/>
        </w:rPr>
      </w:pPr>
    </w:p>
    <w:p w:rsidR="00294DAD" w:rsidRPr="00157510" w:rsidRDefault="00294DAD" w:rsidP="00157510">
      <w:pPr>
        <w:ind w:left="7371"/>
        <w:rPr>
          <w:rFonts w:ascii="Arial" w:hAnsi="Arial" w:cs="Arial"/>
        </w:rPr>
      </w:pPr>
    </w:p>
    <w:p w:rsidR="00294DAD" w:rsidRPr="00157510" w:rsidRDefault="00294DAD" w:rsidP="00157510">
      <w:pPr>
        <w:ind w:left="7371"/>
        <w:rPr>
          <w:rFonts w:ascii="Arial" w:hAnsi="Arial" w:cs="Arial"/>
        </w:rPr>
      </w:pPr>
    </w:p>
    <w:p w:rsidR="00294DAD" w:rsidRPr="00157510" w:rsidRDefault="00294DAD" w:rsidP="00157510">
      <w:pPr>
        <w:ind w:left="7371"/>
        <w:rPr>
          <w:rFonts w:ascii="Arial" w:hAnsi="Arial" w:cs="Arial"/>
        </w:rPr>
      </w:pPr>
    </w:p>
    <w:p w:rsidR="00294DAD" w:rsidRPr="00157510" w:rsidRDefault="00073BC3" w:rsidP="00157510">
      <w:pPr>
        <w:ind w:left="7371"/>
        <w:rPr>
          <w:rFonts w:ascii="Arial" w:hAnsi="Arial" w:cs="Arial"/>
        </w:rPr>
      </w:pPr>
      <w:r>
        <w:rPr>
          <w:rFonts w:ascii="Arial" w:hAnsi="Arial" w:cs="Arial"/>
          <w:bCs/>
        </w:rPr>
        <w:t>Idris Latif</w:t>
      </w:r>
    </w:p>
    <w:p w:rsidR="00294DAD" w:rsidRPr="00157510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rPr>
          <w:rFonts w:ascii="Arial" w:hAnsi="Arial" w:cs="Arial"/>
        </w:rPr>
      </w:pPr>
    </w:p>
    <w:sectPr w:rsidR="00294DAD" w:rsidRPr="002A16FB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3BC3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510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A97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16FB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004C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6545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27258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04B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29D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3BFC95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0F27C-21E6-42D1-8DEA-1C993D92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2023-04-03T03:14:00Z</cp:lastPrinted>
  <dcterms:created xsi:type="dcterms:W3CDTF">2023-10-10T05:29:00Z</dcterms:created>
  <dcterms:modified xsi:type="dcterms:W3CDTF">2023-10-10T05:29:00Z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