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763F1C15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Nomor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Pr="00A55F8A">
        <w:rPr>
          <w:rFonts w:ascii="Arial" w:hAnsi="Arial" w:cs="Arial"/>
          <w:color w:val="FFFFFF" w:themeColor="background1"/>
          <w:sz w:val="23"/>
          <w:szCs w:val="23"/>
        </w:rPr>
        <w:t>0000</w:t>
      </w:r>
      <w:r w:rsidRPr="00A55F8A">
        <w:rPr>
          <w:rFonts w:ascii="Arial" w:hAnsi="Arial" w:cs="Arial"/>
          <w:sz w:val="23"/>
          <w:szCs w:val="23"/>
        </w:rPr>
        <w:t>/KPTA.W3-A/KP8.1/II</w:t>
      </w:r>
      <w:r w:rsidR="004F3D78">
        <w:rPr>
          <w:rFonts w:ascii="Arial" w:hAnsi="Arial" w:cs="Arial"/>
          <w:sz w:val="23"/>
          <w:szCs w:val="23"/>
        </w:rPr>
        <w:t>I</w:t>
      </w:r>
      <w:r w:rsidRPr="00A55F8A">
        <w:rPr>
          <w:rFonts w:ascii="Arial" w:hAnsi="Arial" w:cs="Arial"/>
          <w:sz w:val="23"/>
          <w:szCs w:val="23"/>
        </w:rPr>
        <w:t>/2024</w:t>
      </w:r>
      <w:r w:rsidRPr="00A55F8A">
        <w:rPr>
          <w:rFonts w:ascii="Arial" w:hAnsi="Arial" w:cs="Arial"/>
          <w:sz w:val="23"/>
          <w:szCs w:val="23"/>
        </w:rPr>
        <w:tab/>
      </w:r>
      <w:r w:rsidR="004F3D78">
        <w:rPr>
          <w:rFonts w:ascii="Arial" w:hAnsi="Arial" w:cs="Arial"/>
          <w:sz w:val="23"/>
          <w:szCs w:val="23"/>
        </w:rPr>
        <w:t>25</w:t>
      </w:r>
      <w:r w:rsidRPr="00A55F8A">
        <w:rPr>
          <w:rFonts w:ascii="Arial" w:hAnsi="Arial" w:cs="Arial"/>
          <w:sz w:val="23"/>
          <w:szCs w:val="23"/>
        </w:rPr>
        <w:t xml:space="preserve"> </w:t>
      </w:r>
      <w:r w:rsidR="004F3D78">
        <w:rPr>
          <w:rFonts w:ascii="Arial" w:hAnsi="Arial" w:cs="Arial"/>
          <w:sz w:val="23"/>
          <w:szCs w:val="23"/>
        </w:rPr>
        <w:t>Maret</w:t>
      </w:r>
      <w:r w:rsidRPr="00A55F8A">
        <w:rPr>
          <w:rFonts w:ascii="Arial" w:hAnsi="Arial" w:cs="Arial"/>
          <w:sz w:val="23"/>
          <w:szCs w:val="23"/>
        </w:rPr>
        <w:t xml:space="preserve"> 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Biasa</w:t>
      </w:r>
      <w:proofErr w:type="spellEnd"/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Undangan</w:t>
      </w:r>
      <w:proofErr w:type="spellEnd"/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Yth</w:t>
      </w:r>
      <w:proofErr w:type="spellEnd"/>
      <w:r w:rsidRPr="00A55F8A">
        <w:rPr>
          <w:rFonts w:ascii="Arial" w:hAnsi="Arial" w:cs="Arial"/>
          <w:sz w:val="23"/>
          <w:szCs w:val="23"/>
        </w:rPr>
        <w:t>.</w:t>
      </w:r>
    </w:p>
    <w:p w14:paraId="22F99F30" w14:textId="78DE1B04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r w:rsidRPr="004F3D78">
        <w:rPr>
          <w:rFonts w:ascii="Arial" w:hAnsi="Arial" w:cs="Arial"/>
          <w:sz w:val="23"/>
          <w:szCs w:val="23"/>
        </w:rPr>
        <w:t>Hakim Tinggi,</w:t>
      </w:r>
    </w:p>
    <w:p w14:paraId="5D5CC762" w14:textId="77777777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4F3D78">
        <w:rPr>
          <w:rFonts w:ascii="Arial" w:hAnsi="Arial" w:cs="Arial"/>
          <w:sz w:val="23"/>
          <w:szCs w:val="23"/>
        </w:rPr>
        <w:t>Pejabat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F3D78">
        <w:rPr>
          <w:rFonts w:ascii="Arial" w:hAnsi="Arial" w:cs="Arial"/>
          <w:sz w:val="23"/>
          <w:szCs w:val="23"/>
        </w:rPr>
        <w:t>Struktural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F3D78">
        <w:rPr>
          <w:rFonts w:ascii="Arial" w:hAnsi="Arial" w:cs="Arial"/>
          <w:sz w:val="23"/>
          <w:szCs w:val="23"/>
        </w:rPr>
        <w:t>Fungsional</w:t>
      </w:r>
      <w:proofErr w:type="spellEnd"/>
      <w:r w:rsidRPr="004F3D78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Pr="004F3D78">
        <w:rPr>
          <w:rFonts w:ascii="Arial" w:hAnsi="Arial" w:cs="Arial"/>
          <w:sz w:val="23"/>
          <w:szCs w:val="23"/>
        </w:rPr>
        <w:t>Pelaksana</w:t>
      </w:r>
      <w:proofErr w:type="spellEnd"/>
    </w:p>
    <w:p w14:paraId="4C7FC1A8" w14:textId="4ABE7FE8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Assalamu’alaikum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Wr</w:t>
      </w:r>
      <w:proofErr w:type="spellEnd"/>
      <w:r w:rsidRPr="00A55F8A">
        <w:rPr>
          <w:rFonts w:ascii="Arial" w:hAnsi="Arial" w:cs="Arial"/>
          <w:sz w:val="23"/>
          <w:szCs w:val="23"/>
        </w:rPr>
        <w:t>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6EDF1330" w:rsidR="00A55F8A" w:rsidRPr="00A55F8A" w:rsidRDefault="00E16830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dalam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rangka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meningkatkan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pelayanan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informasi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kepada</w:t>
      </w:r>
      <w:proofErr w:type="spellEnd"/>
      <w:r>
        <w:rPr>
          <w:rFonts w:ascii="Arial" w:hAnsi="Arial" w:cs="Arial"/>
          <w:sz w:val="23"/>
          <w:szCs w:val="23"/>
        </w:rPr>
        <w:t xml:space="preserve"> Masyarakat, </w:t>
      </w:r>
      <w:proofErr w:type="spellStart"/>
      <w:r>
        <w:rPr>
          <w:rFonts w:ascii="Arial" w:hAnsi="Arial" w:cs="Arial"/>
          <w:sz w:val="23"/>
          <w:szCs w:val="23"/>
        </w:rPr>
        <w:t>maka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dengan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ini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 </w:t>
      </w:r>
      <w:proofErr w:type="spellStart"/>
      <w:r>
        <w:rPr>
          <w:rFonts w:ascii="Arial" w:hAnsi="Arial" w:cs="Arial"/>
          <w:sz w:val="23"/>
          <w:szCs w:val="23"/>
        </w:rPr>
        <w:t>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melaksanakan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rapat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</w:t>
      </w:r>
      <w:r w:rsidRPr="00E16830">
        <w:rPr>
          <w:rFonts w:ascii="Arial" w:hAnsi="Arial" w:cs="Arial"/>
          <w:sz w:val="23"/>
          <w:szCs w:val="23"/>
        </w:rPr>
        <w:t>emantauan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dan </w:t>
      </w:r>
      <w:proofErr w:type="spellStart"/>
      <w:r>
        <w:rPr>
          <w:rFonts w:ascii="Arial" w:hAnsi="Arial" w:cs="Arial"/>
          <w:sz w:val="23"/>
          <w:szCs w:val="23"/>
        </w:rPr>
        <w:t>e</w:t>
      </w:r>
      <w:r w:rsidRPr="00E16830">
        <w:rPr>
          <w:rFonts w:ascii="Arial" w:hAnsi="Arial" w:cs="Arial"/>
          <w:sz w:val="23"/>
          <w:szCs w:val="23"/>
        </w:rPr>
        <w:t>valuasi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Penyelenggaraan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Keterbukaan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E16830">
        <w:rPr>
          <w:rFonts w:ascii="Arial" w:hAnsi="Arial" w:cs="Arial"/>
          <w:sz w:val="23"/>
          <w:szCs w:val="23"/>
        </w:rPr>
        <w:t>Informasi</w:t>
      </w:r>
      <w:proofErr w:type="spellEnd"/>
      <w:r w:rsidRPr="00E16830">
        <w:rPr>
          <w:rFonts w:ascii="Arial" w:hAnsi="Arial" w:cs="Arial"/>
          <w:sz w:val="23"/>
          <w:szCs w:val="23"/>
        </w:rPr>
        <w:t xml:space="preserve"> Publik pada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Tinggi Agama Padang</w:t>
      </w:r>
      <w:r w:rsidRPr="00E16830">
        <w:rPr>
          <w:rFonts w:ascii="Arial" w:hAnsi="Arial" w:cs="Arial"/>
          <w:sz w:val="23"/>
          <w:szCs w:val="23"/>
        </w:rPr>
        <w:t xml:space="preserve"> </w:t>
      </w:r>
      <w:r w:rsidR="00A55F8A" w:rsidRPr="00A55F8A">
        <w:rPr>
          <w:rFonts w:ascii="Arial" w:hAnsi="Arial" w:cs="Arial"/>
          <w:sz w:val="23"/>
          <w:szCs w:val="23"/>
        </w:rPr>
        <w:t xml:space="preserve">yang </w:t>
      </w:r>
      <w:proofErr w:type="spellStart"/>
      <w:r w:rsidR="00A55F8A" w:rsidRPr="00A55F8A">
        <w:rPr>
          <w:rFonts w:ascii="Arial" w:hAnsi="Arial" w:cs="Arial"/>
          <w:i/>
          <w:iCs/>
          <w:sz w:val="23"/>
          <w:szCs w:val="23"/>
        </w:rPr>
        <w:t>Insya</w:t>
      </w:r>
      <w:proofErr w:type="spellEnd"/>
      <w:r w:rsidR="00A55F8A" w:rsidRPr="00A55F8A">
        <w:rPr>
          <w:rFonts w:ascii="Arial" w:hAnsi="Arial" w:cs="Arial"/>
          <w:i/>
          <w:iCs/>
          <w:sz w:val="23"/>
          <w:szCs w:val="23"/>
        </w:rPr>
        <w:t xml:space="preserve"> Allah</w:t>
      </w:r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akan</w:t>
      </w:r>
      <w:proofErr w:type="spellEnd"/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dilaksanakan</w:t>
      </w:r>
      <w:proofErr w:type="spellEnd"/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2210B6D7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 xml:space="preserve">Hari, </w:t>
      </w:r>
      <w:proofErr w:type="spellStart"/>
      <w:r w:rsidRPr="00A55F8A">
        <w:rPr>
          <w:rFonts w:ascii="Arial" w:hAnsi="Arial" w:cs="Arial"/>
          <w:sz w:val="23"/>
          <w:szCs w:val="23"/>
        </w:rPr>
        <w:t>tanggal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>Senin, 2 September 2024</w:t>
      </w:r>
    </w:p>
    <w:p w14:paraId="23B8C05F" w14:textId="5838FCA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>08</w:t>
      </w:r>
      <w:r w:rsidRPr="00A55F8A">
        <w:rPr>
          <w:rFonts w:ascii="Arial" w:hAnsi="Arial" w:cs="Arial"/>
          <w:sz w:val="23"/>
          <w:szCs w:val="23"/>
        </w:rPr>
        <w:t xml:space="preserve">.00 WIB </w:t>
      </w:r>
      <w:proofErr w:type="spellStart"/>
      <w:r w:rsidR="00E16830">
        <w:rPr>
          <w:rFonts w:ascii="Arial" w:hAnsi="Arial" w:cs="Arial"/>
          <w:sz w:val="23"/>
          <w:szCs w:val="23"/>
        </w:rPr>
        <w:t>s.d.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selesai</w:t>
      </w:r>
      <w:proofErr w:type="spellEnd"/>
    </w:p>
    <w:p w14:paraId="01B8B6E3" w14:textId="4E36DCB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Tempat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4F3D78">
        <w:rPr>
          <w:rFonts w:ascii="Arial" w:hAnsi="Arial" w:cs="Arial"/>
          <w:sz w:val="23"/>
          <w:szCs w:val="23"/>
        </w:rPr>
        <w:t xml:space="preserve">Command Center </w:t>
      </w:r>
      <w:proofErr w:type="spellStart"/>
      <w:r w:rsidR="004F3D78">
        <w:rPr>
          <w:rFonts w:ascii="Arial" w:hAnsi="Arial" w:cs="Arial"/>
          <w:sz w:val="23"/>
          <w:szCs w:val="23"/>
        </w:rPr>
        <w:t>Pengadilan</w:t>
      </w:r>
      <w:proofErr w:type="spellEnd"/>
      <w:r w:rsidR="004F3D78">
        <w:rPr>
          <w:rFonts w:ascii="Arial" w:hAnsi="Arial" w:cs="Arial"/>
          <w:sz w:val="23"/>
          <w:szCs w:val="23"/>
        </w:rPr>
        <w:t xml:space="preserve"> Tinggi Agama Padang</w:t>
      </w:r>
    </w:p>
    <w:p w14:paraId="264CC2B0" w14:textId="0B3773A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Acara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Rapat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pemantauan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dan </w:t>
      </w:r>
      <w:proofErr w:type="spellStart"/>
      <w:r w:rsidR="00E16830">
        <w:rPr>
          <w:rFonts w:ascii="Arial" w:hAnsi="Arial" w:cs="Arial"/>
          <w:sz w:val="23"/>
          <w:szCs w:val="23"/>
        </w:rPr>
        <w:t>evaluasi</w:t>
      </w:r>
      <w:proofErr w:type="spellEnd"/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  <w:lang w:val="en-ID"/>
        </w:rPr>
        <w:t>disampaikan</w:t>
      </w:r>
      <w:proofErr w:type="spellEnd"/>
      <w:r w:rsidRPr="00A55F8A">
        <w:rPr>
          <w:rFonts w:ascii="Arial" w:hAnsi="Arial" w:cs="Arial"/>
          <w:sz w:val="23"/>
          <w:szCs w:val="23"/>
          <w:lang w:val="en-ID"/>
        </w:rPr>
        <w:t xml:space="preserve">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proofErr w:type="spellStart"/>
      <w:r w:rsidRPr="00A55F8A">
        <w:rPr>
          <w:rFonts w:ascii="Arial" w:hAnsi="Arial" w:cs="Arial"/>
          <w:sz w:val="23"/>
          <w:szCs w:val="23"/>
        </w:rPr>
        <w:t>Wassalam</w:t>
      </w:r>
      <w:proofErr w:type="spellEnd"/>
      <w:r w:rsidRPr="00A55F8A">
        <w:rPr>
          <w:rFonts w:ascii="Arial" w:hAnsi="Arial" w:cs="Arial"/>
          <w:sz w:val="23"/>
          <w:szCs w:val="23"/>
        </w:rPr>
        <w:t>,</w:t>
      </w:r>
    </w:p>
    <w:p w14:paraId="6C6CFB3C" w14:textId="5E8C17D0" w:rsidR="00A55F8A" w:rsidRPr="00A55F8A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Wakil </w:t>
      </w:r>
      <w:proofErr w:type="spellStart"/>
      <w:r>
        <w:rPr>
          <w:rFonts w:ascii="Arial" w:hAnsi="Arial" w:cs="Arial"/>
          <w:sz w:val="23"/>
          <w:szCs w:val="23"/>
        </w:rPr>
        <w:t>Ketua</w:t>
      </w:r>
      <w:proofErr w:type="spellEnd"/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799AE464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="00E16830">
        <w:rPr>
          <w:rFonts w:ascii="Arial" w:hAnsi="Arial" w:cs="Arial"/>
          <w:sz w:val="23"/>
          <w:szCs w:val="23"/>
        </w:rPr>
        <w:t>Rosliani</w:t>
      </w:r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6B569FB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Tembusan</w:t>
      </w:r>
      <w:proofErr w:type="spellEnd"/>
      <w:r w:rsidRPr="00A55F8A">
        <w:rPr>
          <w:rFonts w:ascii="Arial" w:hAnsi="Arial" w:cs="Arial"/>
          <w:sz w:val="23"/>
          <w:szCs w:val="23"/>
        </w:rPr>
        <w:t>:</w:t>
      </w:r>
    </w:p>
    <w:p w14:paraId="75C3FD85" w14:textId="37F1180C" w:rsidR="006F2F93" w:rsidRPr="00A55F8A" w:rsidRDefault="00A55F8A" w:rsidP="00A55F8A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Ketua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Pengadilan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Tinggi Agama Padang (</w:t>
      </w:r>
      <w:proofErr w:type="spellStart"/>
      <w:r w:rsidRPr="00A55F8A">
        <w:rPr>
          <w:rFonts w:ascii="Arial" w:hAnsi="Arial" w:cs="Arial"/>
          <w:sz w:val="23"/>
          <w:szCs w:val="23"/>
        </w:rPr>
        <w:t>sebagai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laporan</w:t>
      </w:r>
      <w:proofErr w:type="spellEnd"/>
      <w:r w:rsidRPr="00A55F8A">
        <w:rPr>
          <w:rFonts w:ascii="Arial" w:hAnsi="Arial" w:cs="Arial"/>
          <w:sz w:val="23"/>
          <w:szCs w:val="23"/>
        </w:rPr>
        <w:t>).</w:t>
      </w:r>
    </w:p>
    <w:sectPr w:rsidR="006F2F93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02602">
    <w:abstractNumId w:val="7"/>
  </w:num>
  <w:num w:numId="2" w16cid:durableId="93133439">
    <w:abstractNumId w:val="5"/>
  </w:num>
  <w:num w:numId="3" w16cid:durableId="1748652865">
    <w:abstractNumId w:val="6"/>
  </w:num>
  <w:num w:numId="4" w16cid:durableId="1041054566">
    <w:abstractNumId w:val="9"/>
  </w:num>
  <w:num w:numId="5" w16cid:durableId="1242332500">
    <w:abstractNumId w:val="8"/>
  </w:num>
  <w:num w:numId="6" w16cid:durableId="1363045452">
    <w:abstractNumId w:val="2"/>
  </w:num>
  <w:num w:numId="7" w16cid:durableId="2115897275">
    <w:abstractNumId w:val="0"/>
  </w:num>
  <w:num w:numId="8" w16cid:durableId="1954822114">
    <w:abstractNumId w:val="3"/>
  </w:num>
  <w:num w:numId="9" w16cid:durableId="1067386346">
    <w:abstractNumId w:val="10"/>
  </w:num>
  <w:num w:numId="10" w16cid:durableId="1104576475">
    <w:abstractNumId w:val="1"/>
  </w:num>
  <w:num w:numId="11" w16cid:durableId="1681543328">
    <w:abstractNumId w:val="11"/>
  </w:num>
  <w:num w:numId="12" w16cid:durableId="1809857088">
    <w:abstractNumId w:val="4"/>
  </w:num>
  <w:num w:numId="13" w16cid:durableId="7262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1928"/>
    <w:rsid w:val="001C3445"/>
    <w:rsid w:val="001D450B"/>
    <w:rsid w:val="00226996"/>
    <w:rsid w:val="00261718"/>
    <w:rsid w:val="00294E1D"/>
    <w:rsid w:val="002A5898"/>
    <w:rsid w:val="002F739A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821732"/>
    <w:rsid w:val="0092177E"/>
    <w:rsid w:val="00985A12"/>
    <w:rsid w:val="009F2574"/>
    <w:rsid w:val="00A42DA5"/>
    <w:rsid w:val="00A55F8A"/>
    <w:rsid w:val="00A77765"/>
    <w:rsid w:val="00A77CDA"/>
    <w:rsid w:val="00AB5946"/>
    <w:rsid w:val="00AE59E8"/>
    <w:rsid w:val="00B14395"/>
    <w:rsid w:val="00B2763A"/>
    <w:rsid w:val="00DE0179"/>
    <w:rsid w:val="00DE7347"/>
    <w:rsid w:val="00E16830"/>
    <w:rsid w:val="00E217CB"/>
    <w:rsid w:val="00E8428C"/>
    <w:rsid w:val="00E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Mursyidah mursyidah</cp:lastModifiedBy>
  <cp:revision>2</cp:revision>
  <cp:lastPrinted>2024-02-29T09:23:00Z</cp:lastPrinted>
  <dcterms:created xsi:type="dcterms:W3CDTF">2024-08-30T07:58:00Z</dcterms:created>
  <dcterms:modified xsi:type="dcterms:W3CDTF">2024-08-30T07:58:00Z</dcterms:modified>
</cp:coreProperties>
</file>