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8E" w:rsidRDefault="00D50E9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159385</wp:posOffset>
            </wp:positionV>
            <wp:extent cx="758825" cy="950595"/>
            <wp:effectExtent l="0" t="0" r="3810" b="254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757" cy="95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165100</wp:posOffset>
                </wp:positionV>
                <wp:extent cx="4610735" cy="299085"/>
                <wp:effectExtent l="0" t="0" r="1841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15pt;margin-top:13pt;width:363.0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55245</wp:posOffset>
                </wp:positionV>
                <wp:extent cx="4610735" cy="350520"/>
                <wp:effectExtent l="0" t="0" r="18415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9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7" type="#_x0000_t202" style="position:absolute;left:0;text-align:left;margin-left:104.15pt;margin-top:4.35pt;width:363.05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1718E" w:rsidRDefault="00E1718E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3175</wp:posOffset>
                </wp:positionV>
                <wp:extent cx="4601210" cy="231775"/>
                <wp:effectExtent l="0" t="0" r="9525" b="15875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008" cy="232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0E93" w:rsidRDefault="00D50E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6" o:spid="_x0000_s1028" type="#_x0000_t202" style="position:absolute;left:0;text-align:left;margin-left:104.9pt;margin-top:.25pt;width:362.3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" filled="f" stroked="f">
                <v:textbox inset="0,0,0,0">
                  <w:txbxContent>
                    <w:p w:rsidR="00D50E93" w:rsidRDefault="00D50E9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1718E" w:rsidRDefault="00D50E9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100330</wp:posOffset>
                </wp:positionV>
                <wp:extent cx="6430010" cy="0"/>
                <wp:effectExtent l="0" t="19050" r="9525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98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102" o:spid="_x0000_s1026" o:spt="20" style="position:absolute;left:0pt;margin-left:3.2pt;margin-top:7.9pt;height:0pt;width:506.3pt;z-index:251660288;mso-width-relative:page;mso-height-relative:page;" filled="f" stroked="t" coordsize="21600,21600" o:gfxdata="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qWb5bUAAAACAEAAA8AAAAAAAAAAQAgAAAAIgAAAGRycy9kb3ducmV2LnhtbFBLAQIUABQAAAAI&#10;AIdO4kBeL4MSuAEAAF8DAAAOAAAAAAAAAAEAIAAAACMBAABkcnMvZTJvRG9jLnhtbFBLBQYAAAAA&#10;BgAGAFkBAABN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E1718E" w:rsidRPr="00D50E93" w:rsidRDefault="00D50E93" w:rsidP="00D50E93">
      <w:pPr>
        <w:tabs>
          <w:tab w:val="left" w:pos="1148"/>
          <w:tab w:val="left" w:pos="1276"/>
          <w:tab w:val="right" w:pos="9781"/>
        </w:tabs>
        <w:spacing w:after="0" w:line="240" w:lineRule="auto"/>
        <w:jc w:val="both"/>
        <w:rPr>
          <w:rFonts w:ascii="Bookman Old Style" w:hAnsi="Bookman Old Style" w:cs="Arial"/>
          <w:bCs/>
          <w:iCs/>
          <w:sz w:val="20"/>
          <w:szCs w:val="20"/>
          <w:lang w:val="en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Nomor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W3-A/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       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/KU.0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0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X</w:t>
      </w:r>
      <w:r w:rsidR="00F02E52">
        <w:rPr>
          <w:rFonts w:ascii="Bookman Old Style" w:hAnsi="Bookman Old Style" w:cs="Arial"/>
          <w:bCs/>
          <w:iCs/>
          <w:sz w:val="20"/>
          <w:szCs w:val="20"/>
          <w:lang w:val="en-ID"/>
        </w:rPr>
        <w:t>I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/202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ab/>
      </w:r>
      <w:r w:rsidR="00F02E52">
        <w:rPr>
          <w:rFonts w:ascii="Bookman Old Style" w:hAnsi="Bookman Old Style" w:cs="Arial"/>
          <w:bCs/>
          <w:iCs/>
          <w:sz w:val="20"/>
          <w:szCs w:val="20"/>
        </w:rPr>
        <w:t>November</w:t>
      </w:r>
      <w:r>
        <w:rPr>
          <w:rFonts w:ascii="Bookman Old Style" w:hAnsi="Bookman Old Style" w:cs="Arial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202</w:t>
      </w:r>
      <w:r>
        <w:rPr>
          <w:rFonts w:ascii="Bookman Old Style" w:hAnsi="Bookman Old Style" w:cs="Arial"/>
          <w:bCs/>
          <w:iCs/>
          <w:sz w:val="20"/>
          <w:szCs w:val="20"/>
          <w:lang w:val="en-ID"/>
        </w:rPr>
        <w:t>1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Lampiran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1 Berkas</w:t>
      </w:r>
    </w:p>
    <w:p w:rsidR="00E1718E" w:rsidRDefault="00D50E93" w:rsidP="00F02E52">
      <w:pPr>
        <w:tabs>
          <w:tab w:val="left" w:pos="1148"/>
          <w:tab w:val="left" w:pos="1276"/>
        </w:tabs>
        <w:spacing w:after="0" w:line="240" w:lineRule="auto"/>
        <w:ind w:left="1276" w:right="4008" w:hanging="1276"/>
        <w:rPr>
          <w:rFonts w:ascii="Bookman Old Style" w:hAnsi="Bookman Old Style" w:cs="Arial"/>
          <w:bCs/>
          <w:iCs/>
          <w:sz w:val="20"/>
          <w:szCs w:val="20"/>
          <w:lang w:val="id-ID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>Perihal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>: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ab/>
        <w:t xml:space="preserve">Permohonan Persetujuan Revisi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Belanja </w:t>
      </w:r>
      <w:proofErr w:type="spellStart"/>
      <w:r w:rsidR="00F02E52">
        <w:rPr>
          <w:rFonts w:ascii="Bookman Old Style" w:hAnsi="Bookman Old Style" w:cs="Arial"/>
          <w:bCs/>
          <w:iCs/>
          <w:sz w:val="20"/>
          <w:szCs w:val="20"/>
          <w:lang w:val="en-ID"/>
        </w:rPr>
        <w:t>Barang</w:t>
      </w:r>
      <w:proofErr w:type="spellEnd"/>
      <w:r w:rsidR="00F02E52">
        <w:rPr>
          <w:rFonts w:ascii="Bookman Old Style" w:hAnsi="Bookman Old Style" w:cs="Arial"/>
          <w:bCs/>
          <w:iCs/>
          <w:sz w:val="20"/>
          <w:szCs w:val="20"/>
          <w:lang w:val="en-ID"/>
        </w:rPr>
        <w:t xml:space="preserve"> </w:t>
      </w:r>
      <w:proofErr w:type="spellStart"/>
      <w:r w:rsidR="00F02E52">
        <w:rPr>
          <w:rFonts w:ascii="Bookman Old Style" w:hAnsi="Bookman Old Style" w:cs="Arial"/>
          <w:bCs/>
          <w:iCs/>
          <w:sz w:val="20"/>
          <w:szCs w:val="20"/>
          <w:lang w:val="en-ID"/>
        </w:rPr>
        <w:t>Operasional</w:t>
      </w:r>
      <w:proofErr w:type="spellEnd"/>
      <w:r w:rsidR="00F02E52">
        <w:rPr>
          <w:rFonts w:ascii="Bookman Old Style" w:hAnsi="Bookman Old Style" w:cs="Arial"/>
          <w:bCs/>
          <w:iCs/>
          <w:sz w:val="20"/>
          <w:szCs w:val="20"/>
          <w:lang w:val="en-ID"/>
        </w:rPr>
        <w:t xml:space="preserve"> </w:t>
      </w:r>
      <w:proofErr w:type="spellStart"/>
      <w:r w:rsidR="00F02E52">
        <w:rPr>
          <w:rFonts w:ascii="Bookman Old Style" w:hAnsi="Bookman Old Style" w:cs="Arial"/>
          <w:bCs/>
          <w:iCs/>
          <w:sz w:val="20"/>
          <w:szCs w:val="20"/>
          <w:lang w:val="en-ID"/>
        </w:rPr>
        <w:t>Lainnya</w:t>
      </w:r>
      <w:proofErr w:type="spellEnd"/>
      <w:r w:rsidR="00F02E52">
        <w:rPr>
          <w:rFonts w:ascii="Bookman Old Style" w:hAnsi="Bookman Old Style" w:cs="Arial"/>
          <w:bCs/>
          <w:iCs/>
          <w:sz w:val="20"/>
          <w:szCs w:val="20"/>
          <w:lang w:val="en-ID"/>
        </w:rPr>
        <w:t xml:space="preserve">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 xml:space="preserve">Wilayah </w:t>
      </w: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PTA Padang </w:t>
      </w:r>
      <w:r>
        <w:rPr>
          <w:rFonts w:ascii="Bookman Old Style" w:hAnsi="Bookman Old Style" w:cs="Arial"/>
          <w:bCs/>
          <w:iCs/>
          <w:sz w:val="20"/>
          <w:szCs w:val="20"/>
          <w:lang w:val="id-ID"/>
        </w:rPr>
        <w:t>(Revisi Antar Satker)</w:t>
      </w:r>
    </w:p>
    <w:p w:rsidR="00E1718E" w:rsidRDefault="00D50E9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sz w:val="20"/>
          <w:szCs w:val="20"/>
          <w:lang w:val="zh-CN"/>
        </w:rPr>
      </w:pPr>
      <w:r>
        <w:rPr>
          <w:rFonts w:ascii="Bookman Old Style" w:hAnsi="Bookman Old Style" w:cs="Arial"/>
          <w:bCs/>
          <w:iCs/>
          <w:sz w:val="20"/>
          <w:szCs w:val="20"/>
          <w:lang w:val="zh-CN"/>
        </w:rPr>
        <w:t xml:space="preserve">                </w:t>
      </w:r>
    </w:p>
    <w:p w:rsidR="00E1718E" w:rsidRDefault="00E1718E">
      <w:pPr>
        <w:spacing w:after="0" w:line="240" w:lineRule="auto"/>
        <w:ind w:left="1330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after="0" w:line="240" w:lineRule="auto"/>
        <w:ind w:left="1330"/>
        <w:rPr>
          <w:rFonts w:ascii="Bookman Old Style" w:hAnsi="Bookman Old Style"/>
          <w:sz w:val="20"/>
          <w:szCs w:val="20"/>
          <w:lang w:val="id-ID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Sekretaris</w:t>
      </w:r>
      <w:proofErr w:type="spellEnd"/>
      <w:r>
        <w:rPr>
          <w:rFonts w:ascii="Bookman Old Style" w:hAnsi="Bookman Old Style"/>
          <w:sz w:val="20"/>
          <w:szCs w:val="20"/>
        </w:rPr>
        <w:t xml:space="preserve"> MA RI </w:t>
      </w:r>
    </w:p>
    <w:p w:rsidR="00E1718E" w:rsidRDefault="00D50E93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sz w:val="20"/>
          <w:szCs w:val="20"/>
        </w:rPr>
        <w:t>c.q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Kepala</w:t>
      </w:r>
      <w:proofErr w:type="spellEnd"/>
      <w:r>
        <w:rPr>
          <w:rFonts w:ascii="Bookman Old Style" w:hAnsi="Bookman Old Style"/>
          <w:sz w:val="20"/>
          <w:szCs w:val="20"/>
        </w:rPr>
        <w:t xml:space="preserve"> Biro </w:t>
      </w:r>
      <w:proofErr w:type="spellStart"/>
      <w:r>
        <w:rPr>
          <w:rFonts w:ascii="Bookman Old Style" w:hAnsi="Bookman Old Style"/>
          <w:sz w:val="20"/>
          <w:szCs w:val="20"/>
        </w:rPr>
        <w:t>Keuangan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BUA MA-RI</w:t>
      </w:r>
    </w:p>
    <w:p w:rsidR="00E1718E" w:rsidRDefault="00E1718E">
      <w:pPr>
        <w:spacing w:after="0" w:line="240" w:lineRule="auto"/>
        <w:ind w:left="1325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line="240" w:lineRule="auto"/>
        <w:ind w:left="1320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Assalamu’alaikum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Wr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Wb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Sehubungan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</w:rPr>
        <w:t>adanya</w:t>
      </w:r>
      <w:proofErr w:type="spellEnd"/>
      <w:r w:rsidR="00F02E5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 xml:space="preserve">pagu </w:t>
      </w:r>
      <w:proofErr w:type="spellStart"/>
      <w:r w:rsidR="00F02E52">
        <w:rPr>
          <w:rFonts w:ascii="Bookman Old Style" w:hAnsi="Bookman Old Style"/>
          <w:sz w:val="20"/>
          <w:szCs w:val="20"/>
          <w:lang w:val="en-ID"/>
        </w:rPr>
        <w:t>tambahan</w:t>
      </w:r>
      <w:proofErr w:type="spellEnd"/>
      <w:r w:rsidR="00F02E52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  <w:lang w:val="en-ID"/>
        </w:rPr>
        <w:t>pakaian</w:t>
      </w:r>
      <w:proofErr w:type="spellEnd"/>
      <w:r w:rsidR="00F02E52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  <w:lang w:val="en-ID"/>
        </w:rPr>
        <w:t>dinas</w:t>
      </w:r>
      <w:proofErr w:type="spellEnd"/>
      <w:r w:rsidR="00F02E52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  <w:lang w:val="en-ID"/>
        </w:rPr>
        <w:t>pegawai</w:t>
      </w:r>
      <w:proofErr w:type="spellEnd"/>
      <w:r w:rsidR="00F02E52">
        <w:rPr>
          <w:rFonts w:ascii="Bookman Old Style" w:hAnsi="Bookman Old Style"/>
          <w:sz w:val="20"/>
          <w:szCs w:val="20"/>
          <w:lang w:val="en-ID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 xml:space="preserve">Belanja </w:t>
      </w:r>
      <w:proofErr w:type="spellStart"/>
      <w:r w:rsidR="00F02E52">
        <w:rPr>
          <w:rFonts w:ascii="Bookman Old Style" w:hAnsi="Bookman Old Style"/>
          <w:sz w:val="20"/>
          <w:szCs w:val="20"/>
          <w:lang w:val="en-ID"/>
        </w:rPr>
        <w:t>Barang</w:t>
      </w:r>
      <w:proofErr w:type="spellEnd"/>
      <w:r w:rsidR="00F02E52">
        <w:rPr>
          <w:rFonts w:ascii="Bookman Old Style" w:hAnsi="Bookman Old Style"/>
          <w:sz w:val="20"/>
          <w:szCs w:val="20"/>
          <w:lang w:val="en-ID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>di wilayah Pengadilan Tinggi Agama Padang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Tahun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2021, </w:t>
      </w:r>
      <w:proofErr w:type="spellStart"/>
      <w:r>
        <w:rPr>
          <w:rFonts w:ascii="Bookman Old Style" w:hAnsi="Bookman Old Style"/>
          <w:sz w:val="20"/>
          <w:szCs w:val="20"/>
        </w:rPr>
        <w:t>bersama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ini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ajukan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permohonan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persetujuan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rincian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 xml:space="preserve"> :</w:t>
      </w:r>
    </w:p>
    <w:p w:rsidR="00E1718E" w:rsidRDefault="00D50E93" w:rsidP="00F02E52">
      <w:pPr>
        <w:pStyle w:val="ListParagraph"/>
        <w:numPr>
          <w:ilvl w:val="0"/>
          <w:numId w:val="2"/>
        </w:numPr>
        <w:spacing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Jenis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: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</w:rPr>
        <w:t>antar</w:t>
      </w:r>
      <w:proofErr w:type="spellEnd"/>
      <w:r w:rsidR="00F02E5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</w:rPr>
        <w:t>Satker</w:t>
      </w:r>
      <w:proofErr w:type="spellEnd"/>
      <w:r w:rsidR="00F02E5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dalam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</w:rPr>
        <w:t>berubah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 w:rsidP="00F02E52">
      <w:pPr>
        <w:pStyle w:val="ListParagraph"/>
        <w:numPr>
          <w:ilvl w:val="0"/>
          <w:numId w:val="2"/>
        </w:numPr>
        <w:spacing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: </w:t>
      </w:r>
      <w:proofErr w:type="spellStart"/>
      <w:r>
        <w:rPr>
          <w:rFonts w:ascii="Bookman Old Style" w:hAnsi="Bookman Old Style"/>
          <w:sz w:val="20"/>
          <w:szCs w:val="20"/>
        </w:rPr>
        <w:t>Dukungan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Manajemen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Pelaksanaan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Tugas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Teknis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Lainnya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Mahkamah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Agung</w:t>
      </w:r>
      <w:proofErr w:type="spellEnd"/>
      <w:r>
        <w:rPr>
          <w:rFonts w:ascii="Bookman Old Style" w:hAnsi="Bookman Old Style"/>
          <w:sz w:val="20"/>
          <w:szCs w:val="20"/>
        </w:rPr>
        <w:t>;</w:t>
      </w:r>
    </w:p>
    <w:p w:rsidR="00E1718E" w:rsidRDefault="00D50E93" w:rsidP="00F02E52">
      <w:pPr>
        <w:pStyle w:val="ListParagraph"/>
        <w:numPr>
          <w:ilvl w:val="0"/>
          <w:numId w:val="2"/>
        </w:numPr>
        <w:tabs>
          <w:tab w:val="left" w:pos="3486"/>
          <w:tab w:val="left" w:pos="3752"/>
          <w:tab w:val="left" w:pos="4111"/>
        </w:tabs>
        <w:spacing w:before="240" w:line="312" w:lineRule="auto"/>
        <w:ind w:left="204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Satuan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Kerja</w:t>
      </w:r>
      <w:proofErr w:type="spellEnd"/>
      <w:r>
        <w:rPr>
          <w:rFonts w:ascii="Bookman Old Style" w:hAnsi="Bookman Old Style"/>
          <w:sz w:val="20"/>
          <w:szCs w:val="20"/>
        </w:rPr>
        <w:t xml:space="preserve"> : </w:t>
      </w:r>
      <w:r>
        <w:rPr>
          <w:rFonts w:ascii="Bookman Old Style" w:hAnsi="Bookman Old Style"/>
          <w:sz w:val="20"/>
          <w:szCs w:val="20"/>
        </w:rPr>
        <w:tab/>
        <w:t>1.</w:t>
      </w:r>
      <w:r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Padang</w:t>
      </w:r>
    </w:p>
    <w:p w:rsidR="00E1718E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r w:rsidR="00F02E52">
        <w:rPr>
          <w:rFonts w:ascii="Bookman Old Style" w:hAnsi="Bookman Old Style"/>
          <w:sz w:val="20"/>
          <w:szCs w:val="20"/>
        </w:rPr>
        <w:t xml:space="preserve">Padang </w:t>
      </w:r>
      <w:proofErr w:type="spellStart"/>
      <w:r w:rsidR="00F02E52">
        <w:rPr>
          <w:rFonts w:ascii="Bookman Old Style" w:hAnsi="Bookman Old Style"/>
          <w:sz w:val="20"/>
          <w:szCs w:val="20"/>
        </w:rPr>
        <w:t>Panjang</w:t>
      </w:r>
      <w:proofErr w:type="spellEnd"/>
    </w:p>
    <w:p w:rsidR="00E1718E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r w:rsidR="000D0A7D">
        <w:rPr>
          <w:rFonts w:ascii="Bookman Old Style" w:hAnsi="Bookman Old Style"/>
          <w:sz w:val="20"/>
          <w:szCs w:val="20"/>
        </w:rPr>
        <w:t xml:space="preserve">Koto </w:t>
      </w:r>
      <w:proofErr w:type="spellStart"/>
      <w:r w:rsidR="000D0A7D">
        <w:rPr>
          <w:rFonts w:ascii="Bookman Old Style" w:hAnsi="Bookman Old Style"/>
          <w:sz w:val="20"/>
          <w:szCs w:val="20"/>
        </w:rPr>
        <w:t>Baru</w:t>
      </w:r>
      <w:proofErr w:type="spellEnd"/>
    </w:p>
    <w:p w:rsidR="00F02E52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F02E52">
        <w:rPr>
          <w:rFonts w:ascii="Bookman Old Style" w:hAnsi="Bookman Old Style"/>
          <w:sz w:val="20"/>
          <w:szCs w:val="20"/>
        </w:rPr>
        <w:t>Muara</w:t>
      </w:r>
      <w:proofErr w:type="spellEnd"/>
      <w:r w:rsidR="00F02E5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02E52">
        <w:rPr>
          <w:rFonts w:ascii="Bookman Old Style" w:hAnsi="Bookman Old Style"/>
          <w:sz w:val="20"/>
          <w:szCs w:val="20"/>
        </w:rPr>
        <w:t>Labuh</w:t>
      </w:r>
      <w:proofErr w:type="spellEnd"/>
    </w:p>
    <w:p w:rsidR="00F02E52" w:rsidRDefault="00F02E52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Painan</w:t>
      </w:r>
      <w:proofErr w:type="spellEnd"/>
    </w:p>
    <w:p w:rsidR="00F02E52" w:rsidRDefault="00F02E52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Bukittinggi</w:t>
      </w:r>
      <w:proofErr w:type="spellEnd"/>
    </w:p>
    <w:p w:rsidR="00E1718E" w:rsidRDefault="00F02E52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0D0A7D">
        <w:rPr>
          <w:rFonts w:ascii="Bookman Old Style" w:hAnsi="Bookman Old Style"/>
          <w:sz w:val="20"/>
          <w:szCs w:val="20"/>
        </w:rPr>
        <w:t>Lubuk</w:t>
      </w:r>
      <w:proofErr w:type="spellEnd"/>
      <w:r w:rsidR="000D0A7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0D0A7D">
        <w:rPr>
          <w:rFonts w:ascii="Bookman Old Style" w:hAnsi="Bookman Old Style"/>
          <w:sz w:val="20"/>
          <w:szCs w:val="20"/>
        </w:rPr>
        <w:t>Sikaping</w:t>
      </w:r>
      <w:proofErr w:type="spellEnd"/>
    </w:p>
    <w:p w:rsidR="00E1718E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F02E52">
        <w:rPr>
          <w:rFonts w:ascii="Bookman Old Style" w:hAnsi="Bookman Old Style"/>
          <w:sz w:val="20"/>
          <w:szCs w:val="20"/>
        </w:rPr>
        <w:t>Talu</w:t>
      </w:r>
      <w:proofErr w:type="spellEnd"/>
    </w:p>
    <w:p w:rsidR="00E1718E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F02E52">
        <w:rPr>
          <w:rFonts w:ascii="Bookman Old Style" w:hAnsi="Bookman Old Style"/>
          <w:sz w:val="20"/>
          <w:szCs w:val="20"/>
        </w:rPr>
        <w:t>Maninjau</w:t>
      </w:r>
      <w:proofErr w:type="spellEnd"/>
    </w:p>
    <w:p w:rsidR="00E1718E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F02E52">
        <w:rPr>
          <w:rFonts w:ascii="Bookman Old Style" w:hAnsi="Bookman Old Style"/>
          <w:sz w:val="20"/>
          <w:szCs w:val="20"/>
        </w:rPr>
        <w:t>Payakumbuh</w:t>
      </w:r>
      <w:proofErr w:type="spellEnd"/>
    </w:p>
    <w:p w:rsidR="00F02E52" w:rsidRDefault="00F02E52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Tanjung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Pati</w:t>
      </w:r>
      <w:proofErr w:type="spellEnd"/>
    </w:p>
    <w:p w:rsidR="00F02E52" w:rsidRDefault="00F02E52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Lubuk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Basung</w:t>
      </w:r>
      <w:proofErr w:type="spellEnd"/>
    </w:p>
    <w:p w:rsidR="00F02E52" w:rsidRDefault="00F02E52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sz w:val="20"/>
          <w:szCs w:val="20"/>
        </w:rPr>
        <w:t>Pulau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Punjung</w:t>
      </w:r>
      <w:proofErr w:type="spellEnd"/>
    </w:p>
    <w:p w:rsidR="00E1718E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F02E52">
        <w:rPr>
          <w:rFonts w:ascii="Bookman Old Style" w:hAnsi="Bookman Old Style"/>
          <w:sz w:val="20"/>
          <w:szCs w:val="20"/>
        </w:rPr>
        <w:t>Pariaman</w:t>
      </w:r>
      <w:proofErr w:type="spellEnd"/>
    </w:p>
    <w:p w:rsidR="00672728" w:rsidRDefault="00672728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F02E52">
        <w:rPr>
          <w:rFonts w:ascii="Bookman Old Style" w:hAnsi="Bookman Old Style"/>
          <w:sz w:val="20"/>
          <w:szCs w:val="20"/>
        </w:rPr>
        <w:t>Solok</w:t>
      </w:r>
      <w:proofErr w:type="spellEnd"/>
    </w:p>
    <w:p w:rsidR="00E1718E" w:rsidRDefault="00D50E93" w:rsidP="00F02E52">
      <w:pPr>
        <w:pStyle w:val="ListParagraph"/>
        <w:numPr>
          <w:ilvl w:val="0"/>
          <w:numId w:val="3"/>
        </w:numPr>
        <w:tabs>
          <w:tab w:val="left" w:pos="3486"/>
        </w:tabs>
        <w:spacing w:line="312" w:lineRule="auto"/>
        <w:ind w:left="4137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F02E52">
        <w:rPr>
          <w:rFonts w:ascii="Bookman Old Style" w:hAnsi="Bookman Old Style"/>
          <w:sz w:val="20"/>
          <w:szCs w:val="20"/>
        </w:rPr>
        <w:t>Sawahlunto</w:t>
      </w:r>
      <w:proofErr w:type="spellEnd"/>
    </w:p>
    <w:p w:rsidR="00E1718E" w:rsidRDefault="00595884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</w:t>
      </w:r>
      <w:r w:rsidR="00D50E93">
        <w:rPr>
          <w:rFonts w:ascii="Bookman Old Style" w:hAnsi="Bookman Old Style"/>
          <w:sz w:val="20"/>
          <w:szCs w:val="20"/>
        </w:rPr>
        <w:tab/>
        <w:t>: 1066.</w:t>
      </w:r>
      <w:r w:rsidR="00F02E52">
        <w:rPr>
          <w:rFonts w:ascii="Bookman Old Style" w:hAnsi="Bookman Old Style"/>
          <w:sz w:val="20"/>
          <w:szCs w:val="20"/>
        </w:rPr>
        <w:t>EAA</w:t>
      </w:r>
      <w:r w:rsidR="00D50E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50E93">
        <w:rPr>
          <w:rFonts w:ascii="Bookman Old Style" w:hAnsi="Bookman Old Style"/>
          <w:sz w:val="20"/>
          <w:szCs w:val="20"/>
        </w:rPr>
        <w:t>Layanan</w:t>
      </w:r>
      <w:proofErr w:type="spellEnd"/>
      <w:r w:rsidR="00D50E93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50E93">
        <w:rPr>
          <w:rFonts w:ascii="Bookman Old Style" w:hAnsi="Bookman Old Style"/>
          <w:sz w:val="20"/>
          <w:szCs w:val="20"/>
        </w:rPr>
        <w:t>Perkantoran</w:t>
      </w:r>
      <w:proofErr w:type="spellEnd"/>
      <w:r w:rsidR="00D50E93">
        <w:rPr>
          <w:rFonts w:ascii="Bookman Old Style" w:hAnsi="Bookman Old Style"/>
          <w:sz w:val="20"/>
          <w:szCs w:val="20"/>
        </w:rPr>
        <w:t>;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Komponen</w:t>
      </w:r>
      <w:proofErr w:type="spellEnd"/>
      <w:r>
        <w:rPr>
          <w:rFonts w:ascii="Bookman Old Style" w:hAnsi="Bookman Old Style"/>
          <w:sz w:val="20"/>
          <w:szCs w:val="20"/>
        </w:rPr>
        <w:t xml:space="preserve"> : 1066.</w:t>
      </w:r>
      <w:r w:rsidR="00F02E52">
        <w:rPr>
          <w:rFonts w:ascii="Bookman Old Style" w:hAnsi="Bookman Old Style"/>
          <w:sz w:val="20"/>
          <w:szCs w:val="20"/>
        </w:rPr>
        <w:t>EAA</w:t>
      </w:r>
      <w:r>
        <w:rPr>
          <w:rFonts w:ascii="Bookman Old Style" w:hAnsi="Bookman Old Style"/>
          <w:sz w:val="20"/>
          <w:szCs w:val="20"/>
        </w:rPr>
        <w:t>.00</w:t>
      </w:r>
      <w:r w:rsidR="00595884">
        <w:rPr>
          <w:rFonts w:ascii="Bookman Old Style" w:hAnsi="Bookman Old Style"/>
          <w:sz w:val="20"/>
          <w:szCs w:val="20"/>
          <w:lang w:val="en-ID"/>
        </w:rPr>
        <w:t>2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595884">
        <w:rPr>
          <w:rFonts w:ascii="Bookman Old Style" w:hAnsi="Bookman Old Style"/>
          <w:sz w:val="20"/>
          <w:szCs w:val="20"/>
          <w:lang w:val="en-ID"/>
        </w:rPr>
        <w:t>Operasional</w:t>
      </w:r>
      <w:proofErr w:type="spellEnd"/>
      <w:r w:rsidR="00595884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595884">
        <w:rPr>
          <w:rFonts w:ascii="Bookman Old Style" w:hAnsi="Bookman Old Style"/>
          <w:sz w:val="20"/>
          <w:szCs w:val="20"/>
          <w:lang w:val="en-ID"/>
        </w:rPr>
        <w:t>dan</w:t>
      </w:r>
      <w:proofErr w:type="spellEnd"/>
      <w:r w:rsidR="00595884">
        <w:rPr>
          <w:rFonts w:ascii="Bookman Old Style" w:hAnsi="Bookman Old Style"/>
          <w:sz w:val="20"/>
          <w:szCs w:val="20"/>
          <w:lang w:val="en-ID"/>
        </w:rPr>
        <w:t xml:space="preserve"> </w:t>
      </w:r>
      <w:proofErr w:type="spellStart"/>
      <w:r w:rsidR="00595884">
        <w:rPr>
          <w:rFonts w:ascii="Bookman Old Style" w:hAnsi="Bookman Old Style"/>
          <w:sz w:val="20"/>
          <w:szCs w:val="20"/>
          <w:lang w:val="en-ID"/>
        </w:rPr>
        <w:t>Pemeliharaan</w:t>
      </w:r>
      <w:proofErr w:type="spellEnd"/>
      <w:r w:rsidR="00595884">
        <w:rPr>
          <w:rFonts w:ascii="Bookman Old Style" w:hAnsi="Bookman Old Style"/>
          <w:sz w:val="20"/>
          <w:szCs w:val="20"/>
          <w:lang w:val="en-ID"/>
        </w:rPr>
        <w:t xml:space="preserve"> Kantor</w:t>
      </w:r>
    </w:p>
    <w:p w:rsidR="00E1718E" w:rsidRPr="00914A77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Revisi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menyebabkan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  <w:lang w:val="id-ID"/>
        </w:rPr>
        <w:t xml:space="preserve">dalam satu kegiatan </w:t>
      </w:r>
      <w:proofErr w:type="spellStart"/>
      <w:r>
        <w:rPr>
          <w:rFonts w:ascii="Bookman Old Style" w:hAnsi="Bookman Old Style"/>
          <w:sz w:val="20"/>
          <w:szCs w:val="20"/>
        </w:rPr>
        <w:t>antar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satker</w:t>
      </w:r>
      <w:proofErr w:type="spellEnd"/>
      <w:r>
        <w:rPr>
          <w:rFonts w:ascii="Bookman Old Style" w:hAnsi="Bookman Old Style"/>
          <w:sz w:val="20"/>
          <w:szCs w:val="20"/>
          <w:lang w:val="id-ID"/>
        </w:rPr>
        <w:t>.</w:t>
      </w:r>
    </w:p>
    <w:p w:rsidR="00E1718E" w:rsidRDefault="00D50E93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Pergeseran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anggaran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tersebut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dijelaskan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matriks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semula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menjadi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berikut</w:t>
      </w:r>
      <w:proofErr w:type="spellEnd"/>
      <w:r>
        <w:rPr>
          <w:rFonts w:ascii="Bookman Old Style" w:hAnsi="Bookman Old Style"/>
          <w:sz w:val="20"/>
          <w:szCs w:val="20"/>
        </w:rPr>
        <w:t>:</w:t>
      </w:r>
    </w:p>
    <w:p w:rsidR="00595884" w:rsidRPr="00595884" w:rsidRDefault="00595884" w:rsidP="00595884"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99"/>
        <w:gridCol w:w="1596"/>
        <w:gridCol w:w="1721"/>
        <w:gridCol w:w="1752"/>
      </w:tblGrid>
      <w:tr w:rsidR="00E1718E" w:rsidTr="00672728">
        <w:trPr>
          <w:trHeight w:val="300"/>
          <w:tblHeader/>
          <w:jc w:val="center"/>
        </w:trPr>
        <w:tc>
          <w:tcPr>
            <w:tcW w:w="1668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lastRenderedPageBreak/>
              <w:t>Program/</w:t>
            </w:r>
          </w:p>
          <w:p w:rsidR="00E1718E" w:rsidRDefault="00D5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Output/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Akun</w:t>
            </w:r>
            <w:proofErr w:type="spellEnd"/>
          </w:p>
        </w:tc>
        <w:tc>
          <w:tcPr>
            <w:tcW w:w="3299" w:type="dxa"/>
            <w:vMerge w:val="restart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5069" w:type="dxa"/>
            <w:gridSpan w:val="3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Pagu Anggaran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val="id-ID" w:eastAsia="id-ID"/>
              </w:rPr>
              <w:t>+/-</w:t>
            </w:r>
          </w:p>
        </w:tc>
      </w:tr>
      <w:tr w:rsidR="00672728" w:rsidTr="00672728">
        <w:trPr>
          <w:trHeight w:val="300"/>
          <w:tblHeader/>
          <w:jc w:val="center"/>
        </w:trPr>
        <w:tc>
          <w:tcPr>
            <w:tcW w:w="166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329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E171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59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D5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Jumlah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 xml:space="preserve"> (</w:t>
            </w:r>
            <w:proofErr w:type="spellStart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Rp</w:t>
            </w:r>
            <w:proofErr w:type="spellEnd"/>
            <w:r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)</w:t>
            </w:r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F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005.01.WA</w:t>
            </w:r>
          </w:p>
        </w:tc>
        <w:tc>
          <w:tcPr>
            <w:tcW w:w="8368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E1718E" w:rsidRDefault="00F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Program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Dukungan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Manajemen</w:t>
            </w:r>
            <w:proofErr w:type="spellEnd"/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F02E52" w:rsidP="00F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F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Pembinaan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Administrasi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Pengelolaan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Keuangan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Badan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Urusan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Administrasi</w:t>
            </w:r>
            <w:proofErr w:type="spellEnd"/>
          </w:p>
        </w:tc>
      </w:tr>
      <w:tr w:rsidR="00595884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595884" w:rsidRDefault="00595884" w:rsidP="00F02E52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</w:pPr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1066.EAA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595884" w:rsidRPr="00F02E52" w:rsidRDefault="00595884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Layanan</w:t>
            </w:r>
            <w:proofErr w:type="spellEnd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Perkantoran</w:t>
            </w:r>
            <w:proofErr w:type="spellEnd"/>
          </w:p>
        </w:tc>
      </w:tr>
      <w:tr w:rsidR="00595884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595884" w:rsidRPr="00595884" w:rsidRDefault="00595884" w:rsidP="00F02E52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</w:pPr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1066.EAA.002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595884" w:rsidRPr="00595884" w:rsidRDefault="00595884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Operasional</w:t>
            </w:r>
            <w:proofErr w:type="spellEnd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dan</w:t>
            </w:r>
            <w:proofErr w:type="spellEnd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Pemeliharaan</w:t>
            </w:r>
            <w:proofErr w:type="spellEnd"/>
            <w:r w:rsidRPr="00595884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Kantor</w:t>
            </w:r>
          </w:p>
        </w:tc>
      </w:tr>
      <w:tr w:rsidR="00E1718E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E1718E" w:rsidRDefault="00F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D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E1718E" w:rsidRDefault="00F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PEMBAYARAN TERKAIT PELAKSANAAN OPERASIONAL KANTOR</w:t>
            </w:r>
          </w:p>
        </w:tc>
      </w:tr>
      <w:tr w:rsidR="00F02E52" w:rsidTr="0067272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F02E52" w:rsidRDefault="00F02E52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</w:pPr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521119</w:t>
            </w:r>
          </w:p>
        </w:tc>
        <w:tc>
          <w:tcPr>
            <w:tcW w:w="8368" w:type="dxa"/>
            <w:gridSpan w:val="4"/>
            <w:shd w:val="clear" w:color="auto" w:fill="auto"/>
            <w:noWrap/>
            <w:vAlign w:val="center"/>
          </w:tcPr>
          <w:p w:rsidR="00F02E52" w:rsidRPr="00F02E52" w:rsidRDefault="00F02E52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</w:pP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Belanja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Barang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Operasional</w:t>
            </w:r>
            <w:proofErr w:type="spellEnd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 xml:space="preserve"> </w:t>
            </w:r>
            <w:proofErr w:type="spellStart"/>
            <w:r w:rsidRPr="00F02E5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id-ID"/>
              </w:rPr>
              <w:t>Lainnya</w:t>
            </w:r>
            <w:proofErr w:type="spellEnd"/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Padang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26.527.000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26.527.000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Padang </w:t>
            </w:r>
            <w:proofErr w:type="spellStart"/>
            <w:r w:rsidRPr="00F02E52">
              <w:rPr>
                <w:rFonts w:ascii="Arial Narrow" w:hAnsi="Arial Narrow"/>
              </w:rPr>
              <w:t>Panjang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17.469.000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17.469.000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Koto </w:t>
            </w:r>
            <w:proofErr w:type="spellStart"/>
            <w:r w:rsidRPr="00F02E52">
              <w:rPr>
                <w:rFonts w:ascii="Arial Narrow" w:hAnsi="Arial Narrow"/>
              </w:rPr>
              <w:t>Baru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Muara</w:t>
            </w:r>
            <w:proofErr w:type="spellEnd"/>
            <w:r w:rsidRPr="00F02E52">
              <w:rPr>
                <w:rFonts w:ascii="Arial Narrow" w:hAnsi="Arial Narrow"/>
              </w:rPr>
              <w:t xml:space="preserve"> </w:t>
            </w:r>
            <w:proofErr w:type="spellStart"/>
            <w:r w:rsidRPr="00F02E52">
              <w:rPr>
                <w:rFonts w:ascii="Arial Narrow" w:hAnsi="Arial Narrow"/>
              </w:rPr>
              <w:t>Labuh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Painan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14.234.000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14.234.000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Bukittinggi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20.704.000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20.704.000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Lubuk</w:t>
            </w:r>
            <w:proofErr w:type="spellEnd"/>
            <w:r w:rsidRPr="00F02E52">
              <w:rPr>
                <w:rFonts w:ascii="Arial Narrow" w:hAnsi="Arial Narrow"/>
              </w:rPr>
              <w:t xml:space="preserve"> </w:t>
            </w:r>
            <w:proofErr w:type="spellStart"/>
            <w:r w:rsidRPr="00F02E52">
              <w:rPr>
                <w:rFonts w:ascii="Arial Narrow" w:hAnsi="Arial Narrow"/>
              </w:rPr>
              <w:t>Sikaping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12.293.000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12.293.000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Talu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12.940.000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12.940.000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Maninjau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 w:rsidP="0036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Payakumbuh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14.881.000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14.881.000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Tanjung</w:t>
            </w:r>
            <w:proofErr w:type="spellEnd"/>
            <w:r w:rsidRPr="00F02E52">
              <w:rPr>
                <w:rFonts w:ascii="Arial Narrow" w:hAnsi="Arial Narrow"/>
              </w:rPr>
              <w:t xml:space="preserve"> </w:t>
            </w:r>
            <w:proofErr w:type="spellStart"/>
            <w:r w:rsidRPr="00F02E52">
              <w:rPr>
                <w:rFonts w:ascii="Arial Narrow" w:hAnsi="Arial Narrow"/>
              </w:rPr>
              <w:t>Pati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17.469.000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17.469.000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Lubuk</w:t>
            </w:r>
            <w:proofErr w:type="spellEnd"/>
            <w:r w:rsidRPr="00F02E52">
              <w:rPr>
                <w:rFonts w:ascii="Arial Narrow" w:hAnsi="Arial Narrow"/>
              </w:rPr>
              <w:t xml:space="preserve"> </w:t>
            </w:r>
            <w:proofErr w:type="spellStart"/>
            <w:r w:rsidRPr="00F02E52">
              <w:rPr>
                <w:rFonts w:ascii="Arial Narrow" w:hAnsi="Arial Narrow"/>
              </w:rPr>
              <w:t>Basung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13.587.000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Pulau</w:t>
            </w:r>
            <w:proofErr w:type="spellEnd"/>
            <w:r w:rsidRPr="00F02E52">
              <w:rPr>
                <w:rFonts w:ascii="Arial Narrow" w:hAnsi="Arial Narrow"/>
              </w:rPr>
              <w:t xml:space="preserve"> </w:t>
            </w:r>
            <w:proofErr w:type="spellStart"/>
            <w:r w:rsidRPr="00F02E52">
              <w:rPr>
                <w:rFonts w:ascii="Arial Narrow" w:hAnsi="Arial Narrow"/>
              </w:rPr>
              <w:t>Punjung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12.293.000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12.293.000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Tinggi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F02E52">
              <w:rPr>
                <w:rFonts w:ascii="Arial Narrow" w:hAnsi="Arial Narrow"/>
              </w:rPr>
              <w:t>Agama</w:t>
            </w:r>
            <w:r>
              <w:rPr>
                <w:rFonts w:ascii="Arial Narrow" w:hAnsi="Arial Narrow"/>
              </w:rPr>
              <w:t xml:space="preserve"> Padang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306.328.000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914A77" w:rsidP="00362CF1">
            <w:pPr>
              <w:spacing w:after="0"/>
              <w:jc w:val="right"/>
              <w:rPr>
                <w:rFonts w:ascii="Arial Narrow" w:hAnsi="Arial Narrow"/>
              </w:rPr>
            </w:pPr>
            <w:r w:rsidRPr="00914A77">
              <w:rPr>
                <w:rFonts w:ascii="Arial Narrow" w:hAnsi="Arial Narrow"/>
              </w:rPr>
              <w:t>64.350.000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914A77" w:rsidP="00CC468B">
            <w:pPr>
              <w:spacing w:after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914A77">
              <w:rPr>
                <w:rFonts w:ascii="Arial Narrow" w:hAnsi="Arial Narrow"/>
              </w:rPr>
              <w:t>241.978.000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Pariaman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15.528.000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15.528.000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Solok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12.940.000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12.940.000</w:t>
            </w:r>
          </w:p>
        </w:tc>
      </w:tr>
      <w:tr w:rsidR="00CC468B" w:rsidTr="00CC468B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</w:tcPr>
          <w:p w:rsidR="00CC468B" w:rsidRPr="00F02E52" w:rsidRDefault="00CC468B" w:rsidP="00F02E52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F02E52">
              <w:rPr>
                <w:rFonts w:ascii="Arial Narrow" w:hAnsi="Arial Narrow"/>
              </w:rPr>
              <w:t>Pengadilan</w:t>
            </w:r>
            <w:proofErr w:type="spellEnd"/>
            <w:r w:rsidRPr="00F02E52">
              <w:rPr>
                <w:rFonts w:ascii="Arial Narrow" w:hAnsi="Arial Narrow"/>
              </w:rPr>
              <w:t xml:space="preserve"> Agama </w:t>
            </w:r>
            <w:proofErr w:type="spellStart"/>
            <w:r w:rsidRPr="00F02E52">
              <w:rPr>
                <w:rFonts w:ascii="Arial Narrow" w:hAnsi="Arial Narrow"/>
              </w:rPr>
              <w:t>Sawahlunto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672728" w:rsidRDefault="00CC468B" w:rsidP="00362CF1">
            <w:pPr>
              <w:spacing w:before="60" w:after="6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10.352.000</w:t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CC468B" w:rsidRDefault="00CC468B" w:rsidP="00CC468B">
            <w:pPr>
              <w:spacing w:after="0"/>
              <w:jc w:val="right"/>
              <w:rPr>
                <w:rFonts w:ascii="Arial Narrow" w:hAnsi="Arial Narrow"/>
              </w:rPr>
            </w:pPr>
            <w:r w:rsidRPr="00CC468B">
              <w:rPr>
                <w:rFonts w:ascii="Arial Narrow" w:hAnsi="Arial Narrow"/>
              </w:rPr>
              <w:t>10.352.000</w:t>
            </w:r>
          </w:p>
        </w:tc>
      </w:tr>
      <w:tr w:rsidR="00CC468B" w:rsidTr="00672728">
        <w:trPr>
          <w:trHeight w:val="330"/>
          <w:jc w:val="center"/>
        </w:trPr>
        <w:tc>
          <w:tcPr>
            <w:tcW w:w="1668" w:type="dxa"/>
            <w:shd w:val="clear" w:color="auto" w:fill="auto"/>
            <w:noWrap/>
            <w:vAlign w:val="center"/>
          </w:tcPr>
          <w:p w:rsidR="00CC468B" w:rsidRDefault="00CC4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3299" w:type="dxa"/>
            <w:shd w:val="clear" w:color="auto" w:fill="auto"/>
            <w:noWrap/>
            <w:vAlign w:val="center"/>
          </w:tcPr>
          <w:p w:rsidR="00CC468B" w:rsidRDefault="00CC468B" w:rsidP="0043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d-ID" w:eastAsia="id-ID"/>
              </w:rPr>
              <w:t>Jumlah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C468B" w:rsidRPr="00431E72" w:rsidRDefault="00CC468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 w:rsidR="00914A77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306.328.000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C468B" w:rsidRPr="00431E72" w:rsidRDefault="00CC468B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 w:rsidR="00914A77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306.328.000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  <w:tc>
          <w:tcPr>
            <w:tcW w:w="1752" w:type="dxa"/>
            <w:shd w:val="clear" w:color="auto" w:fill="auto"/>
            <w:noWrap/>
            <w:vAlign w:val="center"/>
          </w:tcPr>
          <w:p w:rsidR="00CC468B" w:rsidRPr="00431E72" w:rsidRDefault="00CC468B" w:rsidP="00A7695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</w:pP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begin"/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instrText xml:space="preserve"> =SUM(ABOVE) </w:instrTex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separate"/>
            </w:r>
            <w:r w:rsidR="00914A77">
              <w:rPr>
                <w:rFonts w:ascii="Arial Narrow" w:eastAsia="Times New Roman" w:hAnsi="Arial Narrow" w:cs="Calibri"/>
                <w:b/>
                <w:bCs/>
                <w:noProof/>
                <w:color w:val="000000"/>
                <w:lang w:val="id-ID" w:eastAsia="id-ID"/>
              </w:rPr>
              <w:t>0</w:t>
            </w:r>
            <w:r w:rsidRPr="00431E72">
              <w:rPr>
                <w:rFonts w:ascii="Arial Narrow" w:eastAsia="Times New Roman" w:hAnsi="Arial Narrow" w:cs="Calibri"/>
                <w:b/>
                <w:bCs/>
                <w:color w:val="000000"/>
                <w:lang w:val="id-ID" w:eastAsia="id-ID"/>
              </w:rPr>
              <w:fldChar w:fldCharType="end"/>
            </w:r>
          </w:p>
        </w:tc>
      </w:tr>
    </w:tbl>
    <w:p w:rsidR="00E1718E" w:rsidRDefault="00E1718E">
      <w:pPr>
        <w:spacing w:line="312" w:lineRule="auto"/>
        <w:jc w:val="both"/>
        <w:rPr>
          <w:rFonts w:ascii="Bookman Old Style" w:hAnsi="Bookman Old Style"/>
          <w:sz w:val="20"/>
          <w:szCs w:val="20"/>
        </w:rPr>
      </w:pPr>
    </w:p>
    <w:p w:rsidR="00E1718E" w:rsidRDefault="00D50E93">
      <w:pPr>
        <w:spacing w:line="312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Bookman Old Style" w:hAnsi="Bookman Old Style"/>
          <w:sz w:val="20"/>
          <w:szCs w:val="20"/>
        </w:rPr>
        <w:t>Demikian</w:t>
      </w:r>
      <w:proofErr w:type="spellEnd"/>
      <w:r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>
        <w:rPr>
          <w:rFonts w:ascii="Bookman Old Style" w:hAnsi="Bookman Old Style"/>
          <w:sz w:val="20"/>
          <w:szCs w:val="20"/>
        </w:rPr>
        <w:t>sampaikan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harapan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disetujui</w:t>
      </w:r>
      <w:proofErr w:type="spellEnd"/>
      <w:r>
        <w:rPr>
          <w:rFonts w:ascii="Bookman Old Style" w:hAnsi="Bookman Old Style"/>
          <w:sz w:val="20"/>
          <w:szCs w:val="20"/>
        </w:rPr>
        <w:t>.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0"/>
          <w:szCs w:val="20"/>
        </w:rPr>
        <w:t>atas</w:t>
      </w:r>
      <w:proofErr w:type="spellEnd"/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perhati</w:t>
      </w:r>
      <w:r w:rsidR="00914A77">
        <w:rPr>
          <w:rFonts w:ascii="Bookman Old Style" w:hAnsi="Bookman Old Style"/>
          <w:sz w:val="20"/>
          <w:szCs w:val="20"/>
        </w:rPr>
        <w:t>annya</w:t>
      </w:r>
      <w:proofErr w:type="spellEnd"/>
      <w:r w:rsidR="00914A77">
        <w:rPr>
          <w:rFonts w:ascii="Bookman Old Style" w:hAnsi="Bookman Old Style"/>
          <w:sz w:val="20"/>
          <w:szCs w:val="20"/>
        </w:rPr>
        <w:t xml:space="preserve"> kami </w:t>
      </w:r>
      <w:proofErr w:type="spellStart"/>
      <w:r w:rsidR="00914A77">
        <w:rPr>
          <w:rFonts w:ascii="Bookman Old Style" w:hAnsi="Bookman Old Style"/>
          <w:sz w:val="20"/>
          <w:szCs w:val="20"/>
        </w:rPr>
        <w:t>ucapkan</w:t>
      </w:r>
      <w:proofErr w:type="spellEnd"/>
      <w:r w:rsidR="00914A7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14A77">
        <w:rPr>
          <w:rFonts w:ascii="Bookman Old Style" w:hAnsi="Bookman Old Style"/>
          <w:sz w:val="20"/>
          <w:szCs w:val="20"/>
        </w:rPr>
        <w:t>terima</w:t>
      </w:r>
      <w:proofErr w:type="spellEnd"/>
      <w:r w:rsidR="00914A7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914A77">
        <w:rPr>
          <w:rFonts w:ascii="Bookman Old Style" w:hAnsi="Bookman Old Style"/>
          <w:sz w:val="20"/>
          <w:szCs w:val="20"/>
        </w:rPr>
        <w:t>kasih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E1718E" w:rsidRDefault="00E1718E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  <w:lang w:val="id-ID"/>
        </w:rPr>
      </w:pP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d-ID"/>
        </w:rPr>
        <w:t>Wassalam</w:t>
      </w:r>
      <w:r>
        <w:rPr>
          <w:rFonts w:ascii="Bookman Old Style" w:hAnsi="Bookman Old Style"/>
          <w:sz w:val="20"/>
          <w:szCs w:val="20"/>
        </w:rPr>
        <w:t>,</w:t>
      </w:r>
    </w:p>
    <w:p w:rsidR="00E1718E" w:rsidRDefault="00D50E93">
      <w:pPr>
        <w:spacing w:after="0" w:line="240" w:lineRule="auto"/>
        <w:ind w:left="6674" w:firstLine="5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b/>
          <w:sz w:val="20"/>
          <w:szCs w:val="20"/>
        </w:rPr>
        <w:t>Sekretaris</w:t>
      </w:r>
      <w:proofErr w:type="spellEnd"/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E1718E" w:rsidRDefault="00E1718E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:rsidR="00E1718E" w:rsidRDefault="00914A77">
      <w:pPr>
        <w:spacing w:after="0" w:line="240" w:lineRule="auto"/>
        <w:ind w:left="6674" w:firstLine="526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IRSYADI</w:t>
      </w:r>
    </w:p>
    <w:sectPr w:rsidR="00E1718E" w:rsidSect="00595884">
      <w:pgSz w:w="11907" w:h="16840" w:code="9"/>
      <w:pgMar w:top="1134" w:right="1038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5EE"/>
    <w:multiLevelType w:val="multilevel"/>
    <w:tmpl w:val="08BC55EE"/>
    <w:lvl w:ilvl="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1">
    <w:nsid w:val="13432C6C"/>
    <w:multiLevelType w:val="multilevel"/>
    <w:tmpl w:val="13432C6C"/>
    <w:lvl w:ilvl="0">
      <w:start w:val="1"/>
      <w:numFmt w:val="lowerLetter"/>
      <w:lvlText w:val="%1.)"/>
      <w:lvlJc w:val="left"/>
      <w:pPr>
        <w:ind w:left="1778" w:hanging="360"/>
      </w:pPr>
      <w:rPr>
        <w:rFonts w:ascii="Bookman Old Style" w:eastAsiaTheme="minorHAnsi" w:hAnsi="Bookman Old Style" w:cstheme="minorBidi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C9A7438"/>
    <w:multiLevelType w:val="multilevel"/>
    <w:tmpl w:val="7C9A7438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35E0F"/>
    <w:rsid w:val="00042249"/>
    <w:rsid w:val="00043F86"/>
    <w:rsid w:val="00053717"/>
    <w:rsid w:val="000C37EE"/>
    <w:rsid w:val="000D0A7D"/>
    <w:rsid w:val="000D7DFC"/>
    <w:rsid w:val="00117005"/>
    <w:rsid w:val="001207A4"/>
    <w:rsid w:val="001300EF"/>
    <w:rsid w:val="00130677"/>
    <w:rsid w:val="00131A49"/>
    <w:rsid w:val="001333EE"/>
    <w:rsid w:val="00147F6A"/>
    <w:rsid w:val="0017265F"/>
    <w:rsid w:val="00182CE0"/>
    <w:rsid w:val="00182F57"/>
    <w:rsid w:val="001937C2"/>
    <w:rsid w:val="001943AB"/>
    <w:rsid w:val="00194E3E"/>
    <w:rsid w:val="001B0AD1"/>
    <w:rsid w:val="00212FBE"/>
    <w:rsid w:val="00214573"/>
    <w:rsid w:val="00263483"/>
    <w:rsid w:val="002A303D"/>
    <w:rsid w:val="002B0069"/>
    <w:rsid w:val="002B79EC"/>
    <w:rsid w:val="002D64D6"/>
    <w:rsid w:val="00316BF1"/>
    <w:rsid w:val="00342535"/>
    <w:rsid w:val="00370316"/>
    <w:rsid w:val="003F1B74"/>
    <w:rsid w:val="00400D30"/>
    <w:rsid w:val="00404C40"/>
    <w:rsid w:val="00422FE8"/>
    <w:rsid w:val="00431E72"/>
    <w:rsid w:val="004369BA"/>
    <w:rsid w:val="004628F9"/>
    <w:rsid w:val="004750DB"/>
    <w:rsid w:val="004A4AAF"/>
    <w:rsid w:val="004C4E91"/>
    <w:rsid w:val="004E7729"/>
    <w:rsid w:val="004F377D"/>
    <w:rsid w:val="005539AB"/>
    <w:rsid w:val="00557166"/>
    <w:rsid w:val="00595884"/>
    <w:rsid w:val="005A5233"/>
    <w:rsid w:val="005D3CE0"/>
    <w:rsid w:val="005F29AF"/>
    <w:rsid w:val="00612B97"/>
    <w:rsid w:val="00630013"/>
    <w:rsid w:val="00636CDC"/>
    <w:rsid w:val="00672728"/>
    <w:rsid w:val="00677C04"/>
    <w:rsid w:val="00682C72"/>
    <w:rsid w:val="006D13A3"/>
    <w:rsid w:val="00777CFC"/>
    <w:rsid w:val="00791677"/>
    <w:rsid w:val="00794D55"/>
    <w:rsid w:val="00810F32"/>
    <w:rsid w:val="00821E18"/>
    <w:rsid w:val="008B62C2"/>
    <w:rsid w:val="008C6DAD"/>
    <w:rsid w:val="008F6C60"/>
    <w:rsid w:val="00914A77"/>
    <w:rsid w:val="00932ABF"/>
    <w:rsid w:val="00953F76"/>
    <w:rsid w:val="009B4B30"/>
    <w:rsid w:val="009D454B"/>
    <w:rsid w:val="009E55A5"/>
    <w:rsid w:val="00A1795D"/>
    <w:rsid w:val="00A2289D"/>
    <w:rsid w:val="00A648C8"/>
    <w:rsid w:val="00AB56CB"/>
    <w:rsid w:val="00AC32A8"/>
    <w:rsid w:val="00AF0ADF"/>
    <w:rsid w:val="00AF1CC3"/>
    <w:rsid w:val="00B01658"/>
    <w:rsid w:val="00B12757"/>
    <w:rsid w:val="00B2504E"/>
    <w:rsid w:val="00B97B92"/>
    <w:rsid w:val="00BA6F16"/>
    <w:rsid w:val="00BC771F"/>
    <w:rsid w:val="00C21095"/>
    <w:rsid w:val="00C5225A"/>
    <w:rsid w:val="00CA7B9D"/>
    <w:rsid w:val="00CC468B"/>
    <w:rsid w:val="00CD56B4"/>
    <w:rsid w:val="00D062CB"/>
    <w:rsid w:val="00D172E3"/>
    <w:rsid w:val="00D50E93"/>
    <w:rsid w:val="00D74318"/>
    <w:rsid w:val="00D82AE5"/>
    <w:rsid w:val="00D96FBE"/>
    <w:rsid w:val="00DD35A8"/>
    <w:rsid w:val="00E10D04"/>
    <w:rsid w:val="00E16D16"/>
    <w:rsid w:val="00E1718E"/>
    <w:rsid w:val="00E1745B"/>
    <w:rsid w:val="00E242D6"/>
    <w:rsid w:val="00E4292C"/>
    <w:rsid w:val="00E5102E"/>
    <w:rsid w:val="00E70E76"/>
    <w:rsid w:val="00F02E52"/>
    <w:rsid w:val="00F305CB"/>
    <w:rsid w:val="00F45A55"/>
    <w:rsid w:val="00FA31EE"/>
    <w:rsid w:val="00FA58DE"/>
    <w:rsid w:val="00FD6A39"/>
    <w:rsid w:val="00FE002C"/>
    <w:rsid w:val="00FF18E1"/>
    <w:rsid w:val="6B9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ta-padang.go.id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D0BC5-69F9-4520-9982-17B0B57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2021-11-02T02:31:00Z</cp:lastPrinted>
  <dcterms:created xsi:type="dcterms:W3CDTF">2019-05-09T01:35:00Z</dcterms:created>
  <dcterms:modified xsi:type="dcterms:W3CDTF">2021-11-02T02:31:00Z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