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EA5C118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665EE18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090861">
        <w:rPr>
          <w:rFonts w:ascii="Bookman Old Style" w:hAnsi="Bookman Old Style"/>
          <w:sz w:val="22"/>
          <w:szCs w:val="22"/>
        </w:rPr>
        <w:t xml:space="preserve">meningkatkan </w:t>
      </w:r>
      <w:r w:rsidR="00944ED5">
        <w:rPr>
          <w:rFonts w:ascii="Bookman Old Style" w:hAnsi="Bookman Old Style"/>
          <w:sz w:val="22"/>
          <w:szCs w:val="22"/>
        </w:rPr>
        <w:t>layanan peradilan</w:t>
      </w:r>
      <w:r w:rsidR="00090861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Pengadilan Agama di lingkungan Pengadilan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944ED5">
        <w:rPr>
          <w:rFonts w:ascii="Bookman Old Style" w:hAnsi="Bookman Old Style"/>
          <w:sz w:val="22"/>
          <w:szCs w:val="22"/>
        </w:rPr>
        <w:t xml:space="preserve">pengawasan dan </w:t>
      </w:r>
      <w:r w:rsidR="00E4281C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1E8C1EE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09086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7CFF468B" w14:textId="2B0FDB66" w:rsidR="00EA6B25" w:rsidRPr="0086404A" w:rsidRDefault="0086404A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407738" w:rsidRPr="00407738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68422EB1" w14:textId="1A60925A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EDF50B6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monitoring </w:t>
      </w:r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r w:rsidR="00944ED5">
        <w:rPr>
          <w:rFonts w:ascii="Bookman Old Style" w:hAnsi="Bookman Old Style"/>
          <w:spacing w:val="2"/>
          <w:sz w:val="22"/>
          <w:szCs w:val="22"/>
        </w:rPr>
        <w:t xml:space="preserve"> dan pengawasan layanan peradilan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di Pengadilan </w:t>
      </w:r>
      <w:r w:rsidR="000A371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CE71FB">
        <w:rPr>
          <w:rFonts w:ascii="Bookman Old Style" w:hAnsi="Bookman Old Style"/>
          <w:spacing w:val="2"/>
          <w:sz w:val="22"/>
          <w:szCs w:val="22"/>
        </w:rPr>
        <w:t>Painan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B15B3E">
        <w:rPr>
          <w:rFonts w:ascii="Bookman Old Style" w:hAnsi="Bookman Old Style"/>
          <w:spacing w:val="2"/>
          <w:sz w:val="22"/>
          <w:szCs w:val="22"/>
        </w:rPr>
        <w:br/>
      </w:r>
      <w:r w:rsidR="00CE71FB">
        <w:rPr>
          <w:rFonts w:ascii="Bookman Old Style" w:hAnsi="Bookman Old Style"/>
          <w:spacing w:val="2"/>
          <w:sz w:val="22"/>
          <w:szCs w:val="22"/>
        </w:rPr>
        <w:t>4</w:t>
      </w:r>
      <w:r w:rsidR="00944ED5">
        <w:rPr>
          <w:rFonts w:ascii="Bookman Old Style" w:hAnsi="Bookman Old Style"/>
          <w:spacing w:val="2"/>
          <w:sz w:val="22"/>
          <w:szCs w:val="22"/>
        </w:rPr>
        <w:t xml:space="preserve"> s.d.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 5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79D1150F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840EB6A" w:rsidR="00873454" w:rsidRDefault="00CE71F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November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50E9BBE4" w:rsidR="00873454" w:rsidRDefault="00CE71F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56D69E21" w:rsidR="00AE7A24" w:rsidRDefault="00CE71FB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Abd. Hakim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Pr="00BD0B94" w:rsidRDefault="00C70226" w:rsidP="00C70226">
      <w:pPr>
        <w:rPr>
          <w:rFonts w:ascii="Bookman Old Style" w:hAnsi="Bookman Old Style"/>
          <w:bCs/>
          <w:sz w:val="20"/>
          <w:szCs w:val="20"/>
        </w:rPr>
      </w:pPr>
      <w:r w:rsidRPr="00BD0B94">
        <w:rPr>
          <w:rFonts w:ascii="Bookman Old Style" w:hAnsi="Bookman Old Style"/>
          <w:bCs/>
          <w:sz w:val="20"/>
          <w:szCs w:val="20"/>
        </w:rPr>
        <w:t>Tembusan:</w:t>
      </w:r>
    </w:p>
    <w:p w14:paraId="13E72F10" w14:textId="23DDD15D" w:rsidR="00CE71FB" w:rsidRDefault="00CE71FB" w:rsidP="00CE71FB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Ketua Pengadilan Tinggi Agama Padang (sebagai laporan);</w:t>
      </w:r>
    </w:p>
    <w:p w14:paraId="3F674412" w14:textId="2ADC6BB7" w:rsidR="00BD0B94" w:rsidRPr="00CE71FB" w:rsidRDefault="00E6075E" w:rsidP="00CE71FB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r w:rsidRPr="00CE71FB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CE71FB">
        <w:rPr>
          <w:rFonts w:ascii="Bookman Old Style" w:hAnsi="Bookman Old Style"/>
          <w:bCs/>
          <w:sz w:val="20"/>
          <w:szCs w:val="20"/>
        </w:rPr>
        <w:t>Painan</w:t>
      </w:r>
      <w:r w:rsidRPr="00CE71FB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CE71FB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07738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5</cp:revision>
  <cp:lastPrinted>2021-04-28T22:31:00Z</cp:lastPrinted>
  <dcterms:created xsi:type="dcterms:W3CDTF">2021-11-03T02:23:00Z</dcterms:created>
  <dcterms:modified xsi:type="dcterms:W3CDTF">2021-11-19T02:59:00Z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