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06B62DFF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65B32">
        <w:rPr>
          <w:rFonts w:ascii="Arial" w:hAnsi="Arial" w:cs="Arial"/>
          <w:sz w:val="22"/>
          <w:szCs w:val="22"/>
        </w:rPr>
        <w:t>Nomor</w:t>
      </w:r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AA58E0">
        <w:rPr>
          <w:rFonts w:ascii="Arial" w:hAnsi="Arial" w:cs="Arial"/>
          <w:sz w:val="22"/>
          <w:szCs w:val="22"/>
        </w:rPr>
        <w:t xml:space="preserve">          </w:t>
      </w:r>
      <w:r w:rsidR="00465B32" w:rsidRPr="00465B32">
        <w:rPr>
          <w:rFonts w:ascii="Arial" w:hAnsi="Arial" w:cs="Arial"/>
          <w:sz w:val="22"/>
          <w:szCs w:val="22"/>
        </w:rPr>
        <w:t>/KPTA.W3-A/DL1.1/</w:t>
      </w:r>
      <w:r w:rsidR="006950B2">
        <w:rPr>
          <w:rFonts w:ascii="Arial" w:hAnsi="Arial" w:cs="Arial"/>
          <w:sz w:val="22"/>
          <w:szCs w:val="22"/>
        </w:rPr>
        <w:t>IX</w:t>
      </w:r>
      <w:r w:rsidR="00465B32" w:rsidRPr="00465B32">
        <w:rPr>
          <w:rFonts w:ascii="Arial" w:hAnsi="Arial" w:cs="Arial"/>
          <w:sz w:val="22"/>
          <w:szCs w:val="22"/>
        </w:rPr>
        <w:t>/2024</w:t>
      </w:r>
      <w:r w:rsidRPr="00465B32">
        <w:rPr>
          <w:rFonts w:ascii="Arial" w:hAnsi="Arial" w:cs="Arial"/>
          <w:sz w:val="22"/>
          <w:szCs w:val="22"/>
        </w:rPr>
        <w:tab/>
      </w:r>
      <w:r w:rsidR="00465B32" w:rsidRPr="00465B32">
        <w:rPr>
          <w:rFonts w:ascii="Arial" w:hAnsi="Arial" w:cs="Arial"/>
          <w:sz w:val="22"/>
          <w:szCs w:val="22"/>
        </w:rPr>
        <w:t>10</w:t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r w:rsidR="006950B2">
        <w:rPr>
          <w:rFonts w:ascii="Arial" w:hAnsi="Arial" w:cs="Arial"/>
          <w:sz w:val="22"/>
          <w:szCs w:val="22"/>
        </w:rPr>
        <w:t>September</w:t>
      </w:r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CC2704">
        <w:rPr>
          <w:rFonts w:ascii="Arial" w:hAnsi="Arial" w:cs="Arial"/>
          <w:bCs/>
          <w:iCs/>
          <w:sz w:val="22"/>
          <w:szCs w:val="22"/>
        </w:rPr>
        <w:t>Biasa</w:t>
      </w:r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r w:rsidR="00010F11">
        <w:rPr>
          <w:rFonts w:ascii="Arial" w:hAnsi="Arial" w:cs="Arial"/>
          <w:sz w:val="22"/>
          <w:szCs w:val="22"/>
          <w:lang w:val="en-AU"/>
        </w:rPr>
        <w:t>satu</w:t>
      </w:r>
      <w:r>
        <w:rPr>
          <w:rFonts w:ascii="Arial" w:hAnsi="Arial" w:cs="Arial"/>
          <w:sz w:val="22"/>
          <w:szCs w:val="22"/>
          <w:lang w:val="en-AU"/>
        </w:rPr>
        <w:t xml:space="preserve">) </w:t>
      </w:r>
      <w:r w:rsidR="00465B32">
        <w:rPr>
          <w:rFonts w:ascii="Arial" w:hAnsi="Arial" w:cs="Arial"/>
          <w:sz w:val="22"/>
          <w:szCs w:val="22"/>
          <w:lang w:val="en-AU"/>
        </w:rPr>
        <w:t>berkas</w:t>
      </w:r>
    </w:p>
    <w:p w14:paraId="2F5C466F" w14:textId="77777777" w:rsidR="006950B2" w:rsidRDefault="005D1FF8" w:rsidP="006950B2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6950B2">
        <w:rPr>
          <w:rFonts w:ascii="Arial" w:hAnsi="Arial" w:cs="Arial"/>
          <w:sz w:val="22"/>
          <w:szCs w:val="22"/>
          <w:lang w:val="en-GB"/>
        </w:rPr>
        <w:t>Permohonan Pengesahan</w:t>
      </w:r>
    </w:p>
    <w:p w14:paraId="3E21AB7F" w14:textId="5DD05D17" w:rsidR="0062412D" w:rsidRDefault="006950B2" w:rsidP="006950B2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Standar Operasio</w:t>
      </w:r>
      <w:r w:rsidR="00644482">
        <w:rPr>
          <w:rFonts w:ascii="Arial" w:hAnsi="Arial" w:cs="Arial"/>
          <w:sz w:val="22"/>
          <w:szCs w:val="22"/>
          <w:lang w:val="en-GB"/>
        </w:rPr>
        <w:t>na</w:t>
      </w:r>
      <w:r>
        <w:rPr>
          <w:rFonts w:ascii="Arial" w:hAnsi="Arial" w:cs="Arial"/>
          <w:sz w:val="22"/>
          <w:szCs w:val="22"/>
          <w:lang w:val="en-GB"/>
        </w:rPr>
        <w:t>l Prosedur</w:t>
      </w:r>
      <w:r w:rsidR="00644482">
        <w:rPr>
          <w:rFonts w:ascii="Arial" w:hAnsi="Arial" w:cs="Arial"/>
          <w:sz w:val="22"/>
          <w:szCs w:val="22"/>
          <w:lang w:val="en-GB"/>
        </w:rPr>
        <w:t xml:space="preserve"> (SOP)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47563026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508204A2" w14:textId="77777777" w:rsidR="006950B2" w:rsidRDefault="006950B2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3B5A64DF" w14:textId="2D86CA51" w:rsidR="00EB7EA3" w:rsidRDefault="006950B2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Sekretaris </w:t>
      </w:r>
      <w:r w:rsidR="005D1FF8">
        <w:rPr>
          <w:rFonts w:ascii="Arial" w:hAnsi="Arial" w:cs="Arial"/>
          <w:sz w:val="22"/>
          <w:szCs w:val="22"/>
        </w:rPr>
        <w:t>Mahkamah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7ACCAFE3" w14:textId="7B528C5B" w:rsidR="001A1284" w:rsidRDefault="006950B2" w:rsidP="00AA58E0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Berdasarkan </w:t>
      </w:r>
      <w:r w:rsidR="00AA58E0" w:rsidRPr="00AA58E0">
        <w:rPr>
          <w:rFonts w:ascii="Arial" w:hAnsi="Arial" w:cs="Arial"/>
          <w:sz w:val="22"/>
          <w:szCs w:val="22"/>
        </w:rPr>
        <w:t>Peraturan Sekretaris Mahkamah Agung</w:t>
      </w:r>
      <w:r w:rsidR="00AA58E0">
        <w:rPr>
          <w:rFonts w:ascii="Arial" w:hAnsi="Arial" w:cs="Arial"/>
          <w:sz w:val="22"/>
          <w:szCs w:val="22"/>
        </w:rPr>
        <w:t xml:space="preserve"> </w:t>
      </w:r>
      <w:r w:rsidR="00AA58E0" w:rsidRPr="00AA58E0">
        <w:rPr>
          <w:rFonts w:ascii="Arial" w:hAnsi="Arial" w:cs="Arial"/>
          <w:sz w:val="22"/>
          <w:szCs w:val="22"/>
        </w:rPr>
        <w:t>Republik Indonesia</w:t>
      </w:r>
      <w:r w:rsidR="00AA58E0">
        <w:rPr>
          <w:rFonts w:ascii="Arial" w:hAnsi="Arial" w:cs="Arial"/>
          <w:sz w:val="22"/>
          <w:szCs w:val="22"/>
        </w:rPr>
        <w:t xml:space="preserve"> </w:t>
      </w:r>
      <w:r w:rsidR="00AA58E0" w:rsidRPr="00AA58E0">
        <w:rPr>
          <w:rFonts w:ascii="Arial" w:hAnsi="Arial" w:cs="Arial"/>
          <w:sz w:val="22"/>
          <w:szCs w:val="22"/>
        </w:rPr>
        <w:t xml:space="preserve">nomor </w:t>
      </w:r>
      <w:r w:rsidR="00AA58E0">
        <w:rPr>
          <w:rFonts w:ascii="Arial" w:hAnsi="Arial" w:cs="Arial"/>
          <w:sz w:val="22"/>
          <w:szCs w:val="22"/>
        </w:rPr>
        <w:br/>
      </w:r>
      <w:r w:rsidR="00AA58E0" w:rsidRPr="00AA58E0">
        <w:rPr>
          <w:rFonts w:ascii="Arial" w:hAnsi="Arial" w:cs="Arial"/>
          <w:sz w:val="22"/>
          <w:szCs w:val="22"/>
        </w:rPr>
        <w:t>2 Tahun 2012</w:t>
      </w:r>
      <w:r w:rsidR="00AA58E0">
        <w:rPr>
          <w:rFonts w:ascii="Arial" w:hAnsi="Arial" w:cs="Arial"/>
          <w:sz w:val="22"/>
          <w:szCs w:val="22"/>
        </w:rPr>
        <w:t xml:space="preserve"> tentang </w:t>
      </w:r>
      <w:r w:rsidR="00AA58E0" w:rsidRPr="00AA58E0">
        <w:rPr>
          <w:rFonts w:ascii="Arial" w:hAnsi="Arial" w:cs="Arial"/>
          <w:sz w:val="22"/>
          <w:szCs w:val="22"/>
        </w:rPr>
        <w:t>Pedoman Penyusunan Standar Operasional Prosedur</w:t>
      </w:r>
      <w:r w:rsidR="00AA58E0">
        <w:rPr>
          <w:rFonts w:ascii="Arial" w:hAnsi="Arial" w:cs="Arial"/>
          <w:sz w:val="22"/>
          <w:szCs w:val="22"/>
        </w:rPr>
        <w:t xml:space="preserve"> </w:t>
      </w:r>
      <w:r w:rsidR="00AA58E0" w:rsidRPr="00AA58E0">
        <w:rPr>
          <w:rFonts w:ascii="Arial" w:hAnsi="Arial" w:cs="Arial"/>
          <w:sz w:val="22"/>
          <w:szCs w:val="22"/>
        </w:rPr>
        <w:t>di Lingkungan Mahkamah Agung dan Badan Peradilan</w:t>
      </w:r>
      <w:r w:rsidR="00AA58E0">
        <w:rPr>
          <w:rFonts w:ascii="Arial" w:hAnsi="Arial" w:cs="Arial"/>
          <w:sz w:val="22"/>
          <w:szCs w:val="22"/>
        </w:rPr>
        <w:t xml:space="preserve"> </w:t>
      </w:r>
      <w:r w:rsidR="00AA58E0" w:rsidRPr="00AA58E0">
        <w:rPr>
          <w:rFonts w:ascii="Arial" w:hAnsi="Arial" w:cs="Arial"/>
          <w:sz w:val="22"/>
          <w:szCs w:val="22"/>
        </w:rPr>
        <w:t>yang Berada di Bawahnya</w:t>
      </w:r>
      <w:r w:rsidR="005276E1">
        <w:rPr>
          <w:rFonts w:ascii="Arial" w:hAnsi="Arial" w:cs="Arial"/>
          <w:sz w:val="22"/>
          <w:szCs w:val="22"/>
        </w:rPr>
        <w:t xml:space="preserve">, diatur </w:t>
      </w:r>
      <w:r w:rsidR="00AA58E0">
        <w:rPr>
          <w:rFonts w:ascii="Arial" w:hAnsi="Arial" w:cs="Arial"/>
          <w:sz w:val="22"/>
          <w:szCs w:val="22"/>
        </w:rPr>
        <w:t xml:space="preserve">bahwa </w:t>
      </w:r>
      <w:r w:rsidR="00AA58E0" w:rsidRPr="00AA58E0">
        <w:rPr>
          <w:rFonts w:ascii="Arial" w:hAnsi="Arial" w:cs="Arial"/>
          <w:sz w:val="22"/>
          <w:szCs w:val="22"/>
        </w:rPr>
        <w:t>Ketua Pengadilan Tingkat Banding menetapkan SOP Pengadilan Tingkat</w:t>
      </w:r>
      <w:r w:rsidR="00AA58E0">
        <w:rPr>
          <w:rFonts w:ascii="Arial" w:hAnsi="Arial" w:cs="Arial"/>
          <w:sz w:val="22"/>
          <w:szCs w:val="22"/>
        </w:rPr>
        <w:t xml:space="preserve"> </w:t>
      </w:r>
      <w:r w:rsidR="00AA58E0" w:rsidRPr="00AA58E0">
        <w:rPr>
          <w:rFonts w:ascii="Arial" w:hAnsi="Arial" w:cs="Arial"/>
          <w:sz w:val="22"/>
          <w:szCs w:val="22"/>
        </w:rPr>
        <w:t>Banding dan selanjutnya disahkan oleh Sekretaris Mahkamah Agung</w:t>
      </w:r>
      <w:r w:rsidR="00AA58E0">
        <w:rPr>
          <w:rFonts w:ascii="Arial" w:hAnsi="Arial" w:cs="Arial"/>
          <w:sz w:val="22"/>
          <w:szCs w:val="22"/>
        </w:rPr>
        <w:t xml:space="preserve"> RI.</w:t>
      </w:r>
    </w:p>
    <w:p w14:paraId="274F9819" w14:textId="19B933FC" w:rsidR="00AA58E0" w:rsidRDefault="00AA58E0" w:rsidP="00AA58E0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hal tersebut diatas, dengan ini kami </w:t>
      </w:r>
      <w:r w:rsidR="005276E1">
        <w:rPr>
          <w:rFonts w:ascii="Arial" w:hAnsi="Arial" w:cs="Arial"/>
          <w:sz w:val="22"/>
          <w:szCs w:val="22"/>
        </w:rPr>
        <w:t>mohon kesediaan Bapak untuk dapat mengesahkan</w:t>
      </w:r>
      <w:r>
        <w:rPr>
          <w:rFonts w:ascii="Arial" w:hAnsi="Arial" w:cs="Arial"/>
          <w:sz w:val="22"/>
          <w:szCs w:val="22"/>
        </w:rPr>
        <w:t xml:space="preserve"> dokumen </w:t>
      </w:r>
      <w:r w:rsidR="00644482">
        <w:rPr>
          <w:rFonts w:ascii="Arial" w:hAnsi="Arial" w:cs="Arial"/>
          <w:sz w:val="22"/>
          <w:szCs w:val="22"/>
        </w:rPr>
        <w:t>SOP</w:t>
      </w:r>
      <w:r>
        <w:rPr>
          <w:rFonts w:ascii="Arial" w:hAnsi="Arial" w:cs="Arial"/>
          <w:sz w:val="22"/>
          <w:szCs w:val="22"/>
        </w:rPr>
        <w:t xml:space="preserve"> Pengadilan Tinggi Agama Padang yang telah dilakukan revisi pada tanggal 20 Agustus 2024</w:t>
      </w:r>
      <w:r w:rsidR="008F584A">
        <w:rPr>
          <w:rFonts w:ascii="Arial" w:hAnsi="Arial" w:cs="Arial"/>
          <w:sz w:val="22"/>
          <w:szCs w:val="22"/>
        </w:rPr>
        <w:t>.</w:t>
      </w:r>
    </w:p>
    <w:p w14:paraId="656C5590" w14:textId="77777777" w:rsidR="00344550" w:rsidRPr="00796F83" w:rsidRDefault="00344550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57DF791B" w14:textId="275B3116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disampaikan, atas </w:t>
      </w:r>
      <w:r w:rsidR="005276E1">
        <w:rPr>
          <w:rFonts w:ascii="Arial" w:hAnsi="Arial" w:cs="Arial"/>
          <w:sz w:val="22"/>
          <w:szCs w:val="22"/>
        </w:rPr>
        <w:t>kesediaan Bapak</w:t>
      </w:r>
      <w:r>
        <w:rPr>
          <w:rFonts w:ascii="Arial" w:hAnsi="Arial" w:cs="Arial"/>
          <w:sz w:val="22"/>
          <w:szCs w:val="22"/>
        </w:rPr>
        <w:t xml:space="preserve"> diucapkan terima kasih.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42C3B89E" w:rsidR="00EB7EA3" w:rsidRDefault="006950B2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58BD70B4" w14:textId="241D100E" w:rsidR="00A23AEF" w:rsidRPr="006950B2" w:rsidRDefault="006950B2" w:rsidP="006950B2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sectPr w:rsidR="00A23AEF" w:rsidRPr="006950B2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256AD1"/>
    <w:rsid w:val="002A62CD"/>
    <w:rsid w:val="002B14B0"/>
    <w:rsid w:val="002C2F57"/>
    <w:rsid w:val="002F098B"/>
    <w:rsid w:val="0034186A"/>
    <w:rsid w:val="00344550"/>
    <w:rsid w:val="00465B32"/>
    <w:rsid w:val="00500EB8"/>
    <w:rsid w:val="005276E1"/>
    <w:rsid w:val="005D1FF8"/>
    <w:rsid w:val="0062412D"/>
    <w:rsid w:val="00637BBE"/>
    <w:rsid w:val="00644482"/>
    <w:rsid w:val="006733BA"/>
    <w:rsid w:val="006950B2"/>
    <w:rsid w:val="00796F83"/>
    <w:rsid w:val="008F584A"/>
    <w:rsid w:val="00951652"/>
    <w:rsid w:val="00951FF0"/>
    <w:rsid w:val="00997CA6"/>
    <w:rsid w:val="009A27FE"/>
    <w:rsid w:val="00A23AEF"/>
    <w:rsid w:val="00A6058A"/>
    <w:rsid w:val="00AA58E0"/>
    <w:rsid w:val="00B01370"/>
    <w:rsid w:val="00B421D9"/>
    <w:rsid w:val="00BB37C9"/>
    <w:rsid w:val="00CC0161"/>
    <w:rsid w:val="00CC2704"/>
    <w:rsid w:val="00D04373"/>
    <w:rsid w:val="00D715F0"/>
    <w:rsid w:val="00E07EBB"/>
    <w:rsid w:val="00E23938"/>
    <w:rsid w:val="00E523F4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5</cp:revision>
  <cp:lastPrinted>2024-09-10T08:40:00Z</cp:lastPrinted>
  <dcterms:created xsi:type="dcterms:W3CDTF">2024-09-10T02:22:00Z</dcterms:created>
  <dcterms:modified xsi:type="dcterms:W3CDTF">2024-09-10T09:01:00Z</dcterms:modified>
  <dc:language>en-US</dc:language>
</cp:coreProperties>
</file>