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61ED1323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5F0400C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379DBA3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38FCA79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FB72C9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5297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4137898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4CB9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33354E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039E9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039E9">
        <w:rPr>
          <w:rFonts w:ascii="Bookman Old Style" w:hAnsi="Bookman Old Style"/>
          <w:bCs/>
          <w:sz w:val="22"/>
          <w:szCs w:val="22"/>
          <w:lang w:val="en-ID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039E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60C938C7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039E9" w:rsidRPr="002039E9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039E9">
        <w:rPr>
          <w:rFonts w:ascii="Bookman Old Style" w:hAnsi="Bookman Old Style"/>
          <w:sz w:val="22"/>
          <w:szCs w:val="22"/>
          <w:lang w:val="en-ID"/>
        </w:rPr>
        <w:t>Pemerintah Provinsi Sumatera Barat mengadakan MTQ Nasional XXXIX Tingkat Provinsi Sumatera Barat Tahun 2021 di Kota Padang Panjang</w:t>
      </w:r>
      <w:r w:rsidR="002039E9" w:rsidRPr="002039E9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="002039E9">
        <w:rPr>
          <w:rFonts w:ascii="Bookman Old Style" w:hAnsi="Bookman Old Style"/>
          <w:sz w:val="22"/>
          <w:szCs w:val="22"/>
          <w:lang w:val="en-ID"/>
        </w:rPr>
        <w:t xml:space="preserve">pembukaannya </w:t>
      </w:r>
      <w:r w:rsidR="002039E9" w:rsidRPr="002039E9">
        <w:rPr>
          <w:rFonts w:ascii="Bookman Old Style" w:hAnsi="Bookman Old Style"/>
          <w:sz w:val="22"/>
          <w:szCs w:val="22"/>
          <w:lang w:val="id-ID"/>
        </w:rPr>
        <w:t>antara lain diikuti oleh Perwakilan dari Pengadilan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43F14F68" w:rsidR="0072746D" w:rsidRPr="002039E9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</w:r>
      <w:r w:rsidR="002039E9">
        <w:rPr>
          <w:rFonts w:ascii="Bookman Old Style" w:hAnsi="Bookman Old Style"/>
          <w:sz w:val="22"/>
          <w:szCs w:val="22"/>
          <w:lang w:val="en-ID"/>
        </w:rPr>
        <w:t xml:space="preserve">Undangan Gubernur Sumatera Barat tanggal 1 November 2021 perihal Undangan Pembukaan MTQ Nasional </w:t>
      </w:r>
      <w:r w:rsidR="002039E9">
        <w:rPr>
          <w:rFonts w:ascii="Bookman Old Style" w:hAnsi="Bookman Old Style"/>
          <w:sz w:val="22"/>
          <w:szCs w:val="22"/>
          <w:lang w:val="en-ID"/>
        </w:rPr>
        <w:t>XXXIX Tingkat Provinsi Sumatera Barat Tahun 2021</w:t>
      </w:r>
      <w:r w:rsidR="002039E9">
        <w:rPr>
          <w:rFonts w:ascii="Bookman Old Style" w:hAnsi="Bookman Old Style"/>
          <w:sz w:val="22"/>
          <w:szCs w:val="22"/>
          <w:lang w:val="en-ID"/>
        </w:rPr>
        <w:t>;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618EE88" w:rsidR="0012291F" w:rsidRPr="00C70226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865B73" w14:textId="77777777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8827238" w14:textId="521F3F76" w:rsidR="005448B6" w:rsidRPr="00EF7668" w:rsidRDefault="005448B6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F24A5E9" w14:textId="1F8BCA9D" w:rsidR="00B9334B" w:rsidRPr="0086404A" w:rsidRDefault="005448B6" w:rsidP="00B9334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2039E9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B9334B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6BFDE117" w14:textId="77777777" w:rsidR="00B9334B" w:rsidRDefault="00B9334B" w:rsidP="00B9334B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9AB2810" w14:textId="05B11C88" w:rsidR="0038661B" w:rsidRPr="005448B6" w:rsidRDefault="0038661B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421BF14C" w:rsidR="001D63F1" w:rsidRDefault="00147189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32E6416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039E9">
        <w:rPr>
          <w:rFonts w:ascii="Bookman Old Style" w:hAnsi="Bookman Old Style"/>
          <w:sz w:val="22"/>
          <w:szCs w:val="22"/>
        </w:rPr>
        <w:t xml:space="preserve">mengikuti pembukaan </w:t>
      </w:r>
      <w:r w:rsidR="002039E9">
        <w:rPr>
          <w:rFonts w:ascii="Bookman Old Style" w:hAnsi="Bookman Old Style"/>
          <w:sz w:val="22"/>
          <w:szCs w:val="22"/>
          <w:lang w:val="en-ID"/>
        </w:rPr>
        <w:t>MTQ Nasional XXXIX Tingkat Provinsi Sumatera Barat Tahun 2021 di Kota Padang Panjang</w:t>
      </w:r>
      <w:r w:rsidR="002039E9">
        <w:rPr>
          <w:rFonts w:ascii="Bookman Old Style" w:hAnsi="Bookman Old Style"/>
          <w:spacing w:val="2"/>
          <w:sz w:val="22"/>
          <w:szCs w:val="22"/>
        </w:rPr>
        <w:t xml:space="preserve"> pada tanggal 13-14 November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4D9B1DDF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07E92C08" w:rsidR="00873454" w:rsidRDefault="002039E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1F5AA97F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039E9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0995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9334B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3788B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5</cp:revision>
  <cp:lastPrinted>2021-10-21T04:21:00Z</cp:lastPrinted>
  <dcterms:created xsi:type="dcterms:W3CDTF">2021-10-27T01:02:00Z</dcterms:created>
  <dcterms:modified xsi:type="dcterms:W3CDTF">2021-11-11T03:15:00Z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