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72" w:rsidRDefault="008D334C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883E72" w:rsidRDefault="00883E7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883E72" w:rsidRDefault="008D334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883E72" w:rsidRDefault="008D334C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883E72" w:rsidRDefault="00883E72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883E72" w:rsidRDefault="008D334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83E72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883E72" w:rsidRDefault="00883E72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7710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883E72" w:rsidRDefault="008D334C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55538B">
        <w:rPr>
          <w:rFonts w:ascii="Arial" w:hAnsi="Arial" w:cs="Arial"/>
        </w:rPr>
        <w:t xml:space="preserve"> </w:t>
      </w:r>
      <w:r w:rsidR="005E5F51">
        <w:rPr>
          <w:rFonts w:ascii="Arial" w:hAnsi="Arial" w:cs="Arial"/>
        </w:rPr>
        <w:t xml:space="preserve">  </w:t>
      </w:r>
      <w:r w:rsidR="0095587C">
        <w:rPr>
          <w:rFonts w:ascii="Arial" w:hAnsi="Arial" w:cs="Arial"/>
        </w:rPr>
        <w:t xml:space="preserve"> </w:t>
      </w:r>
      <w:r w:rsidR="005E5F5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</w:t>
      </w:r>
      <w:r w:rsidR="005E5F51">
        <w:rPr>
          <w:rFonts w:ascii="Arial" w:hAnsi="Arial" w:cs="Arial"/>
        </w:rPr>
        <w:t>IX</w:t>
      </w:r>
      <w:r>
        <w:rPr>
          <w:rFonts w:ascii="Arial" w:hAnsi="Arial" w:cs="Arial"/>
        </w:rPr>
        <w:t xml:space="preserve">/2024                 </w:t>
      </w:r>
      <w:r w:rsidR="005E5F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>Padang,</w:t>
      </w:r>
      <w:r>
        <w:rPr>
          <w:rFonts w:ascii="Arial" w:hAnsi="Arial" w:cs="Arial"/>
          <w:lang w:val="id-ID"/>
        </w:rPr>
        <w:t xml:space="preserve"> </w:t>
      </w:r>
      <w:r w:rsidR="005E5F51">
        <w:rPr>
          <w:rFonts w:ascii="Arial" w:hAnsi="Arial" w:cs="Arial"/>
        </w:rPr>
        <w:t>2</w:t>
      </w:r>
      <w:r w:rsidR="0095587C">
        <w:rPr>
          <w:rFonts w:ascii="Arial" w:hAnsi="Arial" w:cs="Arial"/>
        </w:rPr>
        <w:t>6</w:t>
      </w:r>
      <w:r w:rsidR="005E5F51">
        <w:rPr>
          <w:rFonts w:ascii="Arial" w:hAnsi="Arial" w:cs="Arial"/>
        </w:rPr>
        <w:t xml:space="preserve"> September </w:t>
      </w:r>
      <w:r>
        <w:rPr>
          <w:rFonts w:ascii="Arial" w:hAnsi="Arial" w:cs="Arial"/>
        </w:rPr>
        <w:t xml:space="preserve"> 2024</w:t>
      </w:r>
    </w:p>
    <w:p w:rsidR="00883E72" w:rsidRDefault="008D334C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883E72" w:rsidRDefault="008D334C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883E72" w:rsidRDefault="008D334C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lang w:val="id-ID"/>
        </w:rPr>
        <w:t>Pengadilan Agama Padang Panjang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5E5F51">
        <w:rPr>
          <w:rFonts w:ascii="Arial" w:hAnsi="Arial" w:cs="Arial"/>
          <w:bCs/>
        </w:rPr>
        <w:t>Renovasi</w:t>
      </w:r>
      <w:proofErr w:type="spellEnd"/>
      <w:r w:rsidR="005E5F51">
        <w:rPr>
          <w:rFonts w:ascii="Arial" w:hAnsi="Arial" w:cs="Arial"/>
          <w:bCs/>
        </w:rPr>
        <w:t xml:space="preserve"> </w:t>
      </w:r>
      <w:proofErr w:type="spellStart"/>
      <w:r w:rsidR="005E5F51">
        <w:rPr>
          <w:rFonts w:ascii="Arial" w:hAnsi="Arial" w:cs="Arial"/>
          <w:bCs/>
        </w:rPr>
        <w:t>Ruang</w:t>
      </w:r>
      <w:proofErr w:type="spellEnd"/>
      <w:r w:rsidR="005E5F51">
        <w:rPr>
          <w:rFonts w:ascii="Arial" w:hAnsi="Arial" w:cs="Arial"/>
          <w:bCs/>
        </w:rPr>
        <w:t xml:space="preserve"> PTSP</w:t>
      </w:r>
      <w:r>
        <w:rPr>
          <w:rFonts w:ascii="Arial" w:hAnsi="Arial" w:cs="Arial"/>
          <w:bCs/>
        </w:rPr>
        <w:t>)</w:t>
      </w: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D334C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883E72" w:rsidRDefault="008D334C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>
        <w:rPr>
          <w:rFonts w:ascii="Arial" w:hAnsi="Arial" w:cs="Arial"/>
          <w:bCs/>
        </w:rPr>
        <w:t>Perencanaan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Organisasi</w:t>
      </w:r>
      <w:proofErr w:type="spellEnd"/>
    </w:p>
    <w:p w:rsidR="00883E72" w:rsidRDefault="008D334C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Badan </w:t>
      </w:r>
      <w:proofErr w:type="spellStart"/>
      <w:r>
        <w:rPr>
          <w:rFonts w:ascii="Arial" w:hAnsi="Arial" w:cs="Arial"/>
          <w:bCs/>
        </w:rPr>
        <w:t>Urusan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Administrasi</w:t>
      </w:r>
      <w:proofErr w:type="spellEnd"/>
      <w:r>
        <w:rPr>
          <w:rFonts w:ascii="Arial" w:hAnsi="Arial" w:cs="Arial"/>
          <w:bCs/>
        </w:rPr>
        <w:t xml:space="preserve"> MA RI</w:t>
      </w:r>
    </w:p>
    <w:p w:rsidR="00883E72" w:rsidRDefault="00883E72" w:rsidP="00050631">
      <w:pPr>
        <w:spacing w:line="360" w:lineRule="auto"/>
        <w:jc w:val="both"/>
        <w:rPr>
          <w:rFonts w:ascii="Arial" w:hAnsi="Arial" w:cs="Arial"/>
        </w:rPr>
      </w:pPr>
    </w:p>
    <w:p w:rsidR="00883E72" w:rsidRDefault="008D334C" w:rsidP="00050631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r w:rsidR="000220BA">
        <w:rPr>
          <w:rFonts w:ascii="Arial" w:hAnsi="Arial" w:cs="Arial"/>
          <w:spacing w:val="-4"/>
        </w:rPr>
        <w:t>Padang Panjang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5E5F51">
        <w:rPr>
          <w:rFonts w:ascii="Arial" w:hAnsi="Arial" w:cs="Arial"/>
          <w:spacing w:val="-4"/>
        </w:rPr>
        <w:t>1723</w:t>
      </w:r>
      <w:r>
        <w:rPr>
          <w:rFonts w:ascii="Arial" w:hAnsi="Arial" w:cs="Arial"/>
          <w:spacing w:val="-4"/>
          <w:lang w:val="id-ID"/>
        </w:rPr>
        <w:t>/</w:t>
      </w:r>
      <w:r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564C42">
        <w:rPr>
          <w:rFonts w:ascii="Arial" w:hAnsi="Arial" w:cs="Arial"/>
          <w:spacing w:val="-4"/>
        </w:rPr>
        <w:t>8</w:t>
      </w:r>
      <w:r>
        <w:rPr>
          <w:rFonts w:ascii="Arial" w:hAnsi="Arial" w:cs="Arial"/>
          <w:spacing w:val="-4"/>
        </w:rPr>
        <w:t>/RA1.6/</w:t>
      </w:r>
      <w:r w:rsidR="005E5F51">
        <w:rPr>
          <w:rFonts w:ascii="Arial" w:hAnsi="Arial" w:cs="Arial"/>
          <w:spacing w:val="-4"/>
        </w:rPr>
        <w:t>IX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5E5F51">
        <w:rPr>
          <w:rFonts w:ascii="Arial" w:hAnsi="Arial" w:cs="Arial"/>
          <w:spacing w:val="-4"/>
        </w:rPr>
        <w:t xml:space="preserve">23 September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5E5F51" w:rsidRDefault="005E5F51" w:rsidP="00050631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>.</w:t>
      </w:r>
    </w:p>
    <w:p w:rsidR="00702F80" w:rsidRDefault="00702F80" w:rsidP="006C21CD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Ruang</w:t>
      </w:r>
      <w:proofErr w:type="spellEnd"/>
      <w:r>
        <w:t xml:space="preserve"> </w:t>
      </w:r>
      <w:proofErr w:type="spellStart"/>
      <w:r>
        <w:t>resepsionis</w:t>
      </w:r>
      <w:proofErr w:type="spellEnd"/>
      <w:r>
        <w:t xml:space="preserve"> di </w:t>
      </w: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sekat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resepsionis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dikhawatirkan</w:t>
      </w:r>
      <w:proofErr w:type="spellEnd"/>
      <w:r>
        <w:t xml:space="preserve"> stakeholder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lansung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rua</w:t>
      </w:r>
      <w:r w:rsidR="006C21CD">
        <w:t>ngan</w:t>
      </w:r>
      <w:proofErr w:type="spellEnd"/>
      <w:r w:rsidR="006C21CD">
        <w:t xml:space="preserve"> </w:t>
      </w:r>
    </w:p>
    <w:p w:rsidR="00883E72" w:rsidRDefault="00883E72" w:rsidP="00050631">
      <w:pPr>
        <w:ind w:left="796" w:hanging="219"/>
        <w:jc w:val="both"/>
      </w:pPr>
    </w:p>
    <w:p w:rsidR="00883E72" w:rsidRDefault="008D334C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W w:w="9672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856"/>
        <w:gridCol w:w="992"/>
        <w:gridCol w:w="946"/>
        <w:gridCol w:w="1110"/>
        <w:gridCol w:w="1082"/>
        <w:gridCol w:w="6"/>
        <w:gridCol w:w="7"/>
      </w:tblGrid>
      <w:tr w:rsidR="00883E72" w:rsidTr="000220BA">
        <w:trPr>
          <w:gridAfter w:val="1"/>
          <w:wAfter w:w="7" w:type="dxa"/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3856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992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946" w:type="dxa"/>
          </w:tcPr>
          <w:p w:rsidR="00883E72" w:rsidRDefault="008D334C">
            <w:pPr>
              <w:pStyle w:val="TableParagraph"/>
              <w:spacing w:before="80" w:line="252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110" w:type="dxa"/>
          </w:tcPr>
          <w:p w:rsidR="00883E72" w:rsidRDefault="008D334C">
            <w:pPr>
              <w:pStyle w:val="TableParagraph"/>
              <w:spacing w:before="80" w:line="252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gridSpan w:val="2"/>
            <w:tcBorders>
              <w:bottom w:val="nil"/>
            </w:tcBorders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19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883E72" w:rsidTr="000220BA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4"/>
            <w:tcBorders>
              <w:top w:val="nil"/>
              <w:right w:val="nil"/>
            </w:tcBorders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spacing w:before="1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B273FA">
              <w:rPr>
                <w:sz w:val="15"/>
              </w:rPr>
              <w:t>1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0"/>
              <w:rPr>
                <w:sz w:val="15"/>
              </w:rPr>
            </w:pPr>
            <w:r>
              <w:rPr>
                <w:sz w:val="15"/>
              </w:rPr>
              <w:t>Pe</w:t>
            </w:r>
            <w:r w:rsidR="00564C42">
              <w:rPr>
                <w:sz w:val="15"/>
              </w:rPr>
              <w:t xml:space="preserve">ngadaan </w:t>
            </w:r>
            <w:r w:rsidR="00B273FA">
              <w:rPr>
                <w:sz w:val="15"/>
              </w:rPr>
              <w:t xml:space="preserve">/ Renovasi Gedung dan Bangunan 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3856" w:type="dxa"/>
          </w:tcPr>
          <w:p w:rsidR="00883E72" w:rsidRDefault="00B273FA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Renovasi </w:t>
            </w:r>
            <w:r w:rsidR="00DA525F">
              <w:rPr>
                <w:sz w:val="15"/>
              </w:rPr>
              <w:t>Ruang Resepsionis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2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B273FA">
              <w:rPr>
                <w:sz w:val="15"/>
              </w:rPr>
              <w:t>3121</w:t>
            </w:r>
          </w:p>
        </w:tc>
        <w:tc>
          <w:tcPr>
            <w:tcW w:w="3856" w:type="dxa"/>
          </w:tcPr>
          <w:p w:rsidR="00883E72" w:rsidRDefault="00B273FA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Belanja Penambahan Nilai Gedung dan Bangunan 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2"/>
          <w:wAfter w:w="13" w:type="dxa"/>
          <w:trHeight w:val="333"/>
        </w:trPr>
        <w:tc>
          <w:tcPr>
            <w:tcW w:w="1673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6" w:type="dxa"/>
          </w:tcPr>
          <w:p w:rsidR="00883E72" w:rsidRDefault="00E56A54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Renovasi Ruang Resepsionis</w:t>
            </w:r>
          </w:p>
        </w:tc>
        <w:tc>
          <w:tcPr>
            <w:tcW w:w="992" w:type="dxa"/>
          </w:tcPr>
          <w:p w:rsidR="00883E72" w:rsidRDefault="00036659">
            <w:pPr>
              <w:pStyle w:val="TableParagraph"/>
              <w:spacing w:before="80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883E7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110" w:type="dxa"/>
          </w:tcPr>
          <w:p w:rsidR="00883E7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 </w:t>
            </w:r>
            <w:r w:rsidR="00036659">
              <w:rPr>
                <w:sz w:val="15"/>
              </w:rPr>
              <w:t>64.757.000</w:t>
            </w:r>
          </w:p>
        </w:tc>
        <w:tc>
          <w:tcPr>
            <w:tcW w:w="1082" w:type="dxa"/>
          </w:tcPr>
          <w:p w:rsidR="00883E72" w:rsidRDefault="00036659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64.757.000</w:t>
            </w: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Pr="00277386" w:rsidRDefault="00564C42" w:rsidP="00E56A54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856" w:type="dxa"/>
          </w:tcPr>
          <w:p w:rsidR="00564C42" w:rsidRDefault="00E56A54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Konsultan Perencana Renovasi Ruang Resepsionis </w:t>
            </w:r>
          </w:p>
        </w:tc>
        <w:tc>
          <w:tcPr>
            <w:tcW w:w="992" w:type="dxa"/>
          </w:tcPr>
          <w:p w:rsidR="00564C42" w:rsidRDefault="00036659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564C4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110" w:type="dxa"/>
          </w:tcPr>
          <w:p w:rsidR="00564C4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036659">
              <w:rPr>
                <w:sz w:val="15"/>
              </w:rPr>
              <w:t>3.250.000</w:t>
            </w:r>
          </w:p>
        </w:tc>
        <w:tc>
          <w:tcPr>
            <w:tcW w:w="1088" w:type="dxa"/>
            <w:gridSpan w:val="2"/>
          </w:tcPr>
          <w:p w:rsidR="00564C42" w:rsidRDefault="00036659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 w:rsidR="000220BA">
              <w:rPr>
                <w:sz w:val="15"/>
              </w:rPr>
              <w:t>250.000</w:t>
            </w: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Pr="00277386" w:rsidRDefault="00277386">
            <w:pPr>
              <w:pStyle w:val="TableParagraph"/>
              <w:rPr>
                <w:sz w:val="15"/>
                <w:szCs w:val="15"/>
              </w:rPr>
            </w:pPr>
            <w:r>
              <w:rPr>
                <w:rFonts w:ascii="Times New Roman"/>
                <w:sz w:val="18"/>
              </w:rPr>
              <w:t xml:space="preserve">                 </w:t>
            </w:r>
          </w:p>
        </w:tc>
        <w:tc>
          <w:tcPr>
            <w:tcW w:w="3856" w:type="dxa"/>
          </w:tcPr>
          <w:p w:rsidR="00564C42" w:rsidRDefault="00E56A54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Konsultan</w:t>
            </w:r>
            <w:r w:rsidR="00036659">
              <w:rPr>
                <w:sz w:val="15"/>
              </w:rPr>
              <w:t xml:space="preserve"> Pengawas Renovasi Ruang Resepsionis </w:t>
            </w:r>
          </w:p>
        </w:tc>
        <w:tc>
          <w:tcPr>
            <w:tcW w:w="992" w:type="dxa"/>
          </w:tcPr>
          <w:p w:rsidR="00564C42" w:rsidRDefault="00036659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564C4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110" w:type="dxa"/>
          </w:tcPr>
          <w:p w:rsidR="00564C4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036659">
              <w:rPr>
                <w:sz w:val="15"/>
              </w:rPr>
              <w:t>2.370.000</w:t>
            </w:r>
          </w:p>
        </w:tc>
        <w:tc>
          <w:tcPr>
            <w:tcW w:w="1088" w:type="dxa"/>
            <w:gridSpan w:val="2"/>
          </w:tcPr>
          <w:p w:rsidR="00564C42" w:rsidRDefault="000220BA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2.370.000</w:t>
            </w:r>
          </w:p>
        </w:tc>
      </w:tr>
    </w:tbl>
    <w:p w:rsidR="00564C42" w:rsidRDefault="00564C42">
      <w:pPr>
        <w:jc w:val="both"/>
        <w:rPr>
          <w:rFonts w:ascii="Arial" w:hAnsi="Arial" w:cs="Arial"/>
          <w:spacing w:val="-4"/>
          <w:lang w:val="id-ID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</w:t>
      </w:r>
      <w:r w:rsidR="00277386">
        <w:rPr>
          <w:rFonts w:ascii="Arial" w:hAnsi="Arial" w:cs="Arial"/>
          <w:spacing w:val="-4"/>
        </w:rPr>
        <w:t>rima</w:t>
      </w:r>
      <w:proofErr w:type="spellEnd"/>
      <w:r w:rsidR="00277386">
        <w:rPr>
          <w:rFonts w:ascii="Arial" w:hAnsi="Arial" w:cs="Arial"/>
          <w:spacing w:val="-4"/>
        </w:rPr>
        <w:t xml:space="preserve"> </w:t>
      </w:r>
      <w:proofErr w:type="spellStart"/>
      <w:r w:rsidR="00277386">
        <w:rPr>
          <w:rFonts w:ascii="Arial" w:hAnsi="Arial" w:cs="Arial"/>
          <w:spacing w:val="-4"/>
        </w:rPr>
        <w:t>kasih</w:t>
      </w:r>
      <w:proofErr w:type="spellEnd"/>
      <w:r w:rsidR="00277386">
        <w:rPr>
          <w:rFonts w:ascii="Arial" w:hAnsi="Arial" w:cs="Arial"/>
          <w:spacing w:val="-4"/>
        </w:rPr>
        <w:t>.</w:t>
      </w: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883E72" w:rsidRDefault="00883E72">
      <w:pPr>
        <w:ind w:left="5387"/>
        <w:jc w:val="both"/>
        <w:rPr>
          <w:rFonts w:ascii="Arial" w:hAnsi="Arial" w:cs="Arial"/>
          <w:b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A82DBF">
      <w:pPr>
        <w:ind w:left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D334C" w:rsidP="00277386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dan 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P</w:t>
      </w:r>
      <w:r w:rsidR="0055538B">
        <w:t>adang Panjang</w:t>
      </w:r>
      <w:r>
        <w:t>.</w:t>
      </w:r>
    </w:p>
    <w:p w:rsidR="00883E72" w:rsidRDefault="00883E72" w:rsidP="00277386">
      <w:pPr>
        <w:ind w:leftChars="-149" w:left="-358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rPr>
          <w:rFonts w:ascii="Arial" w:hAnsi="Arial" w:cs="Arial"/>
        </w:rPr>
      </w:pPr>
    </w:p>
    <w:sectPr w:rsidR="00883E72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F76530"/>
    <w:multiLevelType w:val="multilevel"/>
    <w:tmpl w:val="50F76530"/>
    <w:lvl w:ilvl="0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20BA"/>
    <w:rsid w:val="00025C4F"/>
    <w:rsid w:val="00036659"/>
    <w:rsid w:val="00050631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B5704"/>
    <w:rsid w:val="001B6AA0"/>
    <w:rsid w:val="001D7D9C"/>
    <w:rsid w:val="001F5296"/>
    <w:rsid w:val="00217313"/>
    <w:rsid w:val="00266C4F"/>
    <w:rsid w:val="00277386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82CC2"/>
    <w:rsid w:val="004F658F"/>
    <w:rsid w:val="004F7176"/>
    <w:rsid w:val="005320D5"/>
    <w:rsid w:val="00545591"/>
    <w:rsid w:val="0055538B"/>
    <w:rsid w:val="00564C42"/>
    <w:rsid w:val="005B3850"/>
    <w:rsid w:val="005D6231"/>
    <w:rsid w:val="005E5F51"/>
    <w:rsid w:val="00683AAE"/>
    <w:rsid w:val="006B235E"/>
    <w:rsid w:val="006C21CD"/>
    <w:rsid w:val="006E6376"/>
    <w:rsid w:val="00702F80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83E72"/>
    <w:rsid w:val="008D334C"/>
    <w:rsid w:val="008F5E00"/>
    <w:rsid w:val="00917D0A"/>
    <w:rsid w:val="00923CDA"/>
    <w:rsid w:val="00944ECA"/>
    <w:rsid w:val="0095587C"/>
    <w:rsid w:val="009E03E3"/>
    <w:rsid w:val="00A14539"/>
    <w:rsid w:val="00A32404"/>
    <w:rsid w:val="00A36135"/>
    <w:rsid w:val="00A45C78"/>
    <w:rsid w:val="00A66F29"/>
    <w:rsid w:val="00A82DBF"/>
    <w:rsid w:val="00AC0108"/>
    <w:rsid w:val="00AC671A"/>
    <w:rsid w:val="00AE00D3"/>
    <w:rsid w:val="00AF2FA9"/>
    <w:rsid w:val="00B11464"/>
    <w:rsid w:val="00B273FA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2F54"/>
    <w:rsid w:val="00D95CF8"/>
    <w:rsid w:val="00DA525F"/>
    <w:rsid w:val="00DD690B"/>
    <w:rsid w:val="00DE6AEC"/>
    <w:rsid w:val="00E56A54"/>
    <w:rsid w:val="00E71433"/>
    <w:rsid w:val="00E92314"/>
    <w:rsid w:val="00EC3E9B"/>
    <w:rsid w:val="00EE074E"/>
    <w:rsid w:val="00EF7837"/>
    <w:rsid w:val="00F21A45"/>
    <w:rsid w:val="00F574A0"/>
    <w:rsid w:val="00F860E4"/>
    <w:rsid w:val="00F97ABA"/>
    <w:rsid w:val="00FB3FDC"/>
    <w:rsid w:val="00FE5CFE"/>
    <w:rsid w:val="059314A6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0F8990"/>
  <w15:docId w15:val="{00BAFE18-EF3F-45DB-B6A2-D276873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pPr>
      <w:widowControl w:val="0"/>
      <w:numPr>
        <w:numId w:val="1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F3794F-1DDA-40CD-A3F2-15600DEC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35</cp:revision>
  <cp:lastPrinted>2024-05-15T04:05:00Z</cp:lastPrinted>
  <dcterms:created xsi:type="dcterms:W3CDTF">2023-09-27T02:39:00Z</dcterms:created>
  <dcterms:modified xsi:type="dcterms:W3CDTF">2024-09-25T09:11:00Z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