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8E" w:rsidRDefault="00D50E9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6FBCB96" wp14:editId="34BE2012">
            <wp:simplePos x="0" y="0"/>
            <wp:positionH relativeFrom="column">
              <wp:posOffset>312420</wp:posOffset>
            </wp:positionH>
            <wp:positionV relativeFrom="paragraph">
              <wp:posOffset>159385</wp:posOffset>
            </wp:positionV>
            <wp:extent cx="758825" cy="950595"/>
            <wp:effectExtent l="0" t="0" r="3810" b="254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757" cy="950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11FA3" wp14:editId="6387ACE5">
                <wp:simplePos x="0" y="0"/>
                <wp:positionH relativeFrom="column">
                  <wp:posOffset>1322705</wp:posOffset>
                </wp:positionH>
                <wp:positionV relativeFrom="paragraph">
                  <wp:posOffset>165100</wp:posOffset>
                </wp:positionV>
                <wp:extent cx="4610735" cy="299085"/>
                <wp:effectExtent l="0" t="0" r="1841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0E93" w:rsidRDefault="00D50E9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15pt;margin-top:13pt;width:363.0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" filled="f" stroked="f">
                <v:textbox inset="0,0,0,0">
                  <w:txbxContent>
                    <w:p w:rsidR="00D50E93" w:rsidRDefault="00D50E9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E1718E" w:rsidRDefault="00E1718E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:rsidR="00E1718E" w:rsidRDefault="00D50E9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55245</wp:posOffset>
                </wp:positionV>
                <wp:extent cx="4610735" cy="350520"/>
                <wp:effectExtent l="0" t="0" r="18415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9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0E93" w:rsidRDefault="00D50E9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D50E93" w:rsidRDefault="00D50E9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27" type="#_x0000_t202" style="position:absolute;left:0;text-align:left;margin-left:104.15pt;margin-top:4.35pt;width:363.05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" filled="f" stroked="f">
                <v:textbox inset="0,0,0,0">
                  <w:txbxContent>
                    <w:p w:rsidR="00D50E93" w:rsidRDefault="00D50E9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D50E93" w:rsidRDefault="00D50E9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1718E" w:rsidRDefault="00E1718E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:rsidR="00E1718E" w:rsidRDefault="00D50E9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3175</wp:posOffset>
                </wp:positionV>
                <wp:extent cx="4601210" cy="231775"/>
                <wp:effectExtent l="0" t="0" r="9525" b="15875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008" cy="232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0E93" w:rsidRDefault="00D50E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28" type="#_x0000_t202" style="position:absolute;left:0;text-align:left;margin-left:104.9pt;margin-top:.25pt;width:362.3pt;height:1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" filled="f" stroked="f">
                <v:textbox inset="0,0,0,0">
                  <w:txbxContent>
                    <w:p w:rsidR="00D50E93" w:rsidRDefault="00D50E9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1718E" w:rsidRDefault="00D50E9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100330</wp:posOffset>
                </wp:positionV>
                <wp:extent cx="6430010" cy="0"/>
                <wp:effectExtent l="0" t="19050" r="9525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982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02" o:spid="_x0000_s1026" o:spt="20" style="position:absolute;left:0pt;margin-left:3.2pt;margin-top:7.9pt;height:0pt;width:506.3pt;z-index:251660288;mso-width-relative:page;mso-height-relative:page;" filled="f" stroked="t" coordsize="21600,21600" o:gfxdata="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qWb5bUAAAACAEAAA8AAAAAAAAAAQAgAAAAIgAAAGRycy9kb3ducmV2LnhtbFBLAQIUABQAAAAI&#10;AIdO4kBeL4MSuAEAAF8DAAAOAAAAAAAAAAEAIAAAACMBAABkcnMvZTJvRG9jLnhtbFBLBQYAAAAA&#10;BgAGAFkBAABN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E1718E" w:rsidRPr="00D50E93" w:rsidRDefault="00D50E93" w:rsidP="00D50E93">
      <w:pPr>
        <w:tabs>
          <w:tab w:val="left" w:pos="1148"/>
          <w:tab w:val="left" w:pos="1276"/>
          <w:tab w:val="right" w:pos="9781"/>
        </w:tabs>
        <w:spacing w:after="0" w:line="240" w:lineRule="auto"/>
        <w:jc w:val="both"/>
        <w:rPr>
          <w:rFonts w:ascii="Bookman Old Style" w:hAnsi="Bookman Old Style" w:cs="Arial"/>
          <w:bCs/>
          <w:iCs/>
          <w:sz w:val="20"/>
          <w:szCs w:val="20"/>
          <w:lang w:val="en-ID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Nomor    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W3-A/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 xml:space="preserve">       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/KU.0</w:t>
      </w:r>
      <w:r>
        <w:rPr>
          <w:rFonts w:ascii="Bookman Old Style" w:hAnsi="Bookman Old Style" w:cs="Arial"/>
          <w:bCs/>
          <w:iCs/>
          <w:sz w:val="20"/>
          <w:szCs w:val="20"/>
          <w:lang w:val="en-ID"/>
        </w:rPr>
        <w:t>0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/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>X</w:t>
      </w:r>
      <w:r w:rsidR="005A3F93">
        <w:rPr>
          <w:rFonts w:ascii="Bookman Old Style" w:hAnsi="Bookman Old Style" w:cs="Arial"/>
          <w:bCs/>
          <w:iCs/>
          <w:sz w:val="20"/>
          <w:szCs w:val="20"/>
          <w:lang w:val="en-ID"/>
        </w:rPr>
        <w:t>I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/202</w:t>
      </w:r>
      <w:r>
        <w:rPr>
          <w:rFonts w:ascii="Bookman Old Style" w:hAnsi="Bookman Old Style" w:cs="Arial"/>
          <w:bCs/>
          <w:iCs/>
          <w:sz w:val="20"/>
          <w:szCs w:val="20"/>
          <w:lang w:val="en-ID"/>
        </w:rPr>
        <w:t>1</w:t>
      </w:r>
      <w:r>
        <w:rPr>
          <w:rFonts w:ascii="Bookman Old Style" w:hAnsi="Bookman Old Style" w:cs="Arial"/>
          <w:bCs/>
          <w:iCs/>
          <w:sz w:val="20"/>
          <w:szCs w:val="20"/>
          <w:lang w:val="en-ID"/>
        </w:rPr>
        <w:tab/>
      </w:r>
      <w:r w:rsidR="009C2A5F">
        <w:rPr>
          <w:rFonts w:ascii="Bookman Old Style" w:hAnsi="Bookman Old Style" w:cs="Arial"/>
          <w:bCs/>
          <w:iCs/>
          <w:sz w:val="20"/>
          <w:szCs w:val="20"/>
        </w:rPr>
        <w:t>November</w:t>
      </w:r>
      <w:r>
        <w:rPr>
          <w:rFonts w:ascii="Bookman Old Style" w:hAnsi="Bookman Old Style" w:cs="Arial"/>
          <w:bCs/>
          <w:iCs/>
          <w:sz w:val="20"/>
          <w:szCs w:val="20"/>
        </w:rPr>
        <w:t xml:space="preserve">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202</w:t>
      </w:r>
      <w:r>
        <w:rPr>
          <w:rFonts w:ascii="Bookman Old Style" w:hAnsi="Bookman Old Style" w:cs="Arial"/>
          <w:bCs/>
          <w:iCs/>
          <w:sz w:val="20"/>
          <w:szCs w:val="20"/>
          <w:lang w:val="en-ID"/>
        </w:rPr>
        <w:t>1</w:t>
      </w:r>
    </w:p>
    <w:p w:rsidR="00E1718E" w:rsidRPr="001A21BB" w:rsidRDefault="00D50E9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sz w:val="20"/>
          <w:szCs w:val="20"/>
          <w:lang w:val="en-ID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Lampiran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 xml:space="preserve">1 </w:t>
      </w:r>
      <w:proofErr w:type="spellStart"/>
      <w:r w:rsidR="001A21BB">
        <w:rPr>
          <w:rFonts w:ascii="Bookman Old Style" w:hAnsi="Bookman Old Style" w:cs="Arial"/>
          <w:bCs/>
          <w:iCs/>
          <w:sz w:val="20"/>
          <w:szCs w:val="20"/>
          <w:lang w:val="en-ID"/>
        </w:rPr>
        <w:t>lembar</w:t>
      </w:r>
      <w:bookmarkStart w:id="0" w:name="_GoBack"/>
      <w:bookmarkEnd w:id="0"/>
      <w:proofErr w:type="spellEnd"/>
    </w:p>
    <w:p w:rsidR="00E1718E" w:rsidRDefault="00D50E9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sz w:val="20"/>
          <w:szCs w:val="20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Perihal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 xml:space="preserve">Permohonan Persetujuan Revisi 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>Belanja Pegawai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 </w:t>
      </w:r>
    </w:p>
    <w:p w:rsidR="00E1718E" w:rsidRPr="005A3F93" w:rsidRDefault="00D50E9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sz w:val="20"/>
          <w:szCs w:val="20"/>
          <w:lang w:val="en-ID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 xml:space="preserve">  </w:t>
      </w:r>
      <w:proofErr w:type="spellStart"/>
      <w:r w:rsidR="005A3F93">
        <w:rPr>
          <w:rFonts w:ascii="Bookman Old Style" w:hAnsi="Bookman Old Style" w:cs="Arial"/>
          <w:bCs/>
          <w:iCs/>
          <w:sz w:val="20"/>
          <w:szCs w:val="20"/>
          <w:lang w:val="en-ID"/>
        </w:rPr>
        <w:t>Satker</w:t>
      </w:r>
      <w:proofErr w:type="spellEnd"/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 xml:space="preserve"> </w:t>
      </w:r>
      <w:r w:rsidR="005A3F93">
        <w:rPr>
          <w:rFonts w:ascii="Bookman Old Style" w:hAnsi="Bookman Old Style" w:cs="Arial"/>
          <w:bCs/>
          <w:iCs/>
          <w:sz w:val="20"/>
          <w:szCs w:val="20"/>
          <w:lang w:val="zh-CN"/>
        </w:rPr>
        <w:t>PTA Padang</w:t>
      </w:r>
    </w:p>
    <w:p w:rsidR="00E1718E" w:rsidRDefault="00D50E9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sz w:val="20"/>
          <w:szCs w:val="20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                </w:t>
      </w:r>
    </w:p>
    <w:p w:rsidR="00E1718E" w:rsidRDefault="00E1718E">
      <w:pPr>
        <w:spacing w:after="0" w:line="240" w:lineRule="auto"/>
        <w:ind w:left="1330"/>
        <w:rPr>
          <w:rFonts w:ascii="Bookman Old Style" w:hAnsi="Bookman Old Style"/>
          <w:sz w:val="20"/>
          <w:szCs w:val="20"/>
        </w:rPr>
      </w:pPr>
    </w:p>
    <w:p w:rsidR="00E1718E" w:rsidRDefault="00D50E93">
      <w:pPr>
        <w:spacing w:after="0" w:line="240" w:lineRule="auto"/>
        <w:ind w:left="1330"/>
        <w:rPr>
          <w:rFonts w:ascii="Bookman Old Style" w:hAnsi="Bookman Old Style"/>
          <w:sz w:val="20"/>
          <w:szCs w:val="20"/>
          <w:lang w:val="id-ID"/>
        </w:rPr>
      </w:pPr>
      <w:proofErr w:type="spellStart"/>
      <w:proofErr w:type="gram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>.</w:t>
      </w:r>
      <w:proofErr w:type="gramEnd"/>
    </w:p>
    <w:p w:rsidR="00E1718E" w:rsidRDefault="00D50E93">
      <w:pPr>
        <w:spacing w:after="0" w:line="240" w:lineRule="auto"/>
        <w:ind w:left="1325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Sekretaris</w:t>
      </w:r>
      <w:proofErr w:type="spellEnd"/>
      <w:r>
        <w:rPr>
          <w:rFonts w:ascii="Bookman Old Style" w:hAnsi="Bookman Old Style"/>
          <w:sz w:val="20"/>
          <w:szCs w:val="20"/>
        </w:rPr>
        <w:t xml:space="preserve"> MA RI </w:t>
      </w:r>
    </w:p>
    <w:p w:rsidR="00E1718E" w:rsidRDefault="00D50E93">
      <w:pPr>
        <w:spacing w:after="0" w:line="240" w:lineRule="auto"/>
        <w:ind w:left="1325"/>
        <w:rPr>
          <w:rFonts w:ascii="Bookman Old Style" w:hAnsi="Bookman Old Style"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sz w:val="20"/>
          <w:szCs w:val="20"/>
        </w:rPr>
        <w:t>c.q</w:t>
      </w:r>
      <w:proofErr w:type="spellEnd"/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Kepala</w:t>
      </w:r>
      <w:proofErr w:type="spellEnd"/>
      <w:r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>
        <w:rPr>
          <w:rFonts w:ascii="Bookman Old Style" w:hAnsi="Bookman Old Style"/>
          <w:sz w:val="20"/>
          <w:szCs w:val="20"/>
        </w:rPr>
        <w:t>Keuangan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BUA MA-RI</w:t>
      </w:r>
    </w:p>
    <w:p w:rsidR="00E1718E" w:rsidRDefault="00E1718E">
      <w:pPr>
        <w:spacing w:after="0" w:line="240" w:lineRule="auto"/>
        <w:ind w:left="1325"/>
        <w:rPr>
          <w:rFonts w:ascii="Bookman Old Style" w:hAnsi="Bookman Old Style"/>
          <w:sz w:val="20"/>
          <w:szCs w:val="20"/>
        </w:rPr>
      </w:pPr>
    </w:p>
    <w:p w:rsidR="00E1718E" w:rsidRDefault="00D50E93">
      <w:pPr>
        <w:spacing w:line="240" w:lineRule="auto"/>
        <w:ind w:left="1320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Assalamu’alaikum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Wr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Wb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E1718E" w:rsidRDefault="00D50E9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Sehubungan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adanya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beberapa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akun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id-ID"/>
        </w:rPr>
        <w:t>Belanja Pegawai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77722">
        <w:rPr>
          <w:rFonts w:ascii="Bookman Old Style" w:hAnsi="Bookman Old Style"/>
          <w:sz w:val="20"/>
          <w:szCs w:val="20"/>
        </w:rPr>
        <w:t xml:space="preserve">yang minus </w:t>
      </w:r>
      <w:proofErr w:type="spellStart"/>
      <w:r w:rsidR="00E77722">
        <w:rPr>
          <w:rFonts w:ascii="Bookman Old Style" w:hAnsi="Bookman Old Style"/>
          <w:sz w:val="20"/>
          <w:szCs w:val="20"/>
        </w:rPr>
        <w:t>dan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C2A5F">
        <w:rPr>
          <w:rFonts w:ascii="Bookman Old Style" w:hAnsi="Bookman Old Style"/>
          <w:sz w:val="20"/>
          <w:szCs w:val="20"/>
        </w:rPr>
        <w:t>p</w:t>
      </w:r>
      <w:r w:rsidR="00E77722">
        <w:rPr>
          <w:rFonts w:ascii="Bookman Old Style" w:hAnsi="Bookman Old Style"/>
          <w:sz w:val="20"/>
          <w:szCs w:val="20"/>
        </w:rPr>
        <w:t>agu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belanja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pegawai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secara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umum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mencukupi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un</w:t>
      </w:r>
      <w:r w:rsidR="009C2A5F">
        <w:rPr>
          <w:rFonts w:ascii="Bookman Old Style" w:hAnsi="Bookman Old Style"/>
          <w:sz w:val="20"/>
          <w:szCs w:val="20"/>
        </w:rPr>
        <w:t>t</w:t>
      </w:r>
      <w:r w:rsidR="00E77722">
        <w:rPr>
          <w:rFonts w:ascii="Bookman Old Style" w:hAnsi="Bookman Old Style"/>
          <w:sz w:val="20"/>
          <w:szCs w:val="20"/>
        </w:rPr>
        <w:t>uk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dilakukan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pergesera</w:t>
      </w:r>
      <w:r w:rsidR="009C2A5F">
        <w:rPr>
          <w:rFonts w:ascii="Bookman Old Style" w:hAnsi="Bookman Old Style"/>
          <w:sz w:val="20"/>
          <w:szCs w:val="20"/>
        </w:rPr>
        <w:t>n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/ </w:t>
      </w:r>
      <w:proofErr w:type="spellStart"/>
      <w:r w:rsidR="00E77722">
        <w:rPr>
          <w:rFonts w:ascii="Bookman Old Style" w:hAnsi="Bookman Old Style"/>
          <w:sz w:val="20"/>
          <w:szCs w:val="20"/>
        </w:rPr>
        <w:t>revisi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akun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belanja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melalui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Kanwil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Ditjen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perbendaharaan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Provinsi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Sumatera Barat </w:t>
      </w:r>
      <w:proofErr w:type="spellStart"/>
      <w:r w:rsidR="00E77722">
        <w:rPr>
          <w:rFonts w:ascii="Bookman Old Style" w:hAnsi="Bookman Old Style"/>
          <w:sz w:val="20"/>
          <w:szCs w:val="20"/>
        </w:rPr>
        <w:t>namun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persetujuan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tersebut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harus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dengan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persetujuan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</w:rPr>
        <w:t>eselon</w:t>
      </w:r>
      <w:proofErr w:type="spellEnd"/>
      <w:r w:rsidR="00E77722">
        <w:rPr>
          <w:rFonts w:ascii="Bookman Old Style" w:hAnsi="Bookman Old Style"/>
          <w:sz w:val="20"/>
          <w:szCs w:val="20"/>
        </w:rPr>
        <w:t xml:space="preserve"> I. </w:t>
      </w:r>
      <w:proofErr w:type="spellStart"/>
      <w:r w:rsidR="00E77722">
        <w:rPr>
          <w:rFonts w:ascii="Bookman Old Style" w:hAnsi="Bookman Old Style"/>
          <w:sz w:val="20"/>
          <w:szCs w:val="20"/>
          <w:lang w:val="en-ID"/>
        </w:rPr>
        <w:t>Untuk</w:t>
      </w:r>
      <w:proofErr w:type="spellEnd"/>
      <w:r w:rsidR="00E77722">
        <w:rPr>
          <w:rFonts w:ascii="Bookman Old Style" w:hAnsi="Bookman Old Style"/>
          <w:sz w:val="20"/>
          <w:szCs w:val="20"/>
          <w:lang w:val="en-ID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  <w:lang w:val="en-ID"/>
        </w:rPr>
        <w:t>itu</w:t>
      </w:r>
      <w:proofErr w:type="spellEnd"/>
      <w:r w:rsidR="00E77722">
        <w:rPr>
          <w:rFonts w:ascii="Bookman Old Style" w:hAnsi="Bookman Old Style"/>
          <w:sz w:val="20"/>
          <w:szCs w:val="20"/>
          <w:lang w:val="en-ID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bersama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ini</w:t>
      </w:r>
      <w:proofErr w:type="spellEnd"/>
      <w:r>
        <w:rPr>
          <w:rFonts w:ascii="Bookman Old Style" w:hAnsi="Bookman Old Style"/>
          <w:sz w:val="20"/>
          <w:szCs w:val="20"/>
        </w:rPr>
        <w:t xml:space="preserve"> kami </w:t>
      </w:r>
      <w:proofErr w:type="spellStart"/>
      <w:r>
        <w:rPr>
          <w:rFonts w:ascii="Bookman Old Style" w:hAnsi="Bookman Old Style"/>
          <w:sz w:val="20"/>
          <w:szCs w:val="20"/>
        </w:rPr>
        <w:t>ajukan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permohonan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persetujuan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revisi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rincian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sebagai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berikut</w:t>
      </w:r>
      <w:proofErr w:type="spellEnd"/>
      <w:r>
        <w:rPr>
          <w:rFonts w:ascii="Bookman Old Style" w:hAnsi="Bookman Old Style"/>
          <w:sz w:val="20"/>
          <w:szCs w:val="20"/>
        </w:rPr>
        <w:t xml:space="preserve"> :</w:t>
      </w:r>
    </w:p>
    <w:p w:rsidR="00E1718E" w:rsidRDefault="00D50E93" w:rsidP="00AE7A04">
      <w:pPr>
        <w:pStyle w:val="ListParagraph"/>
        <w:numPr>
          <w:ilvl w:val="0"/>
          <w:numId w:val="2"/>
        </w:numPr>
        <w:tabs>
          <w:tab w:val="left" w:pos="1985"/>
          <w:tab w:val="left" w:pos="3402"/>
        </w:tabs>
        <w:spacing w:line="312" w:lineRule="auto"/>
        <w:ind w:left="3542" w:hanging="1861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Jenis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Revisi</w:t>
      </w:r>
      <w:proofErr w:type="spellEnd"/>
      <w:r w:rsidR="00AE7A04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/>
          <w:sz w:val="20"/>
          <w:szCs w:val="20"/>
        </w:rPr>
        <w:t>Pergeseran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dalam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hal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tetap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tujuan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optimalisasi</w:t>
      </w:r>
      <w:proofErr w:type="spellEnd"/>
      <w:r>
        <w:rPr>
          <w:rFonts w:ascii="Bookman Old Style" w:hAnsi="Bookman Old Style"/>
          <w:sz w:val="20"/>
          <w:szCs w:val="20"/>
        </w:rPr>
        <w:t>;</w:t>
      </w:r>
    </w:p>
    <w:p w:rsidR="00E1718E" w:rsidRDefault="00D50E93" w:rsidP="00AE7A04">
      <w:pPr>
        <w:pStyle w:val="ListParagraph"/>
        <w:numPr>
          <w:ilvl w:val="0"/>
          <w:numId w:val="2"/>
        </w:numPr>
        <w:tabs>
          <w:tab w:val="left" w:pos="1985"/>
          <w:tab w:val="left" w:pos="3402"/>
        </w:tabs>
        <w:spacing w:line="312" w:lineRule="auto"/>
        <w:ind w:left="3542" w:hanging="186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</w:t>
      </w:r>
      <w:r w:rsidR="00AE7A04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: </w:t>
      </w:r>
      <w:r w:rsidR="009C2A5F">
        <w:rPr>
          <w:rFonts w:ascii="Bookman Old Style" w:hAnsi="Bookman Old Style"/>
          <w:sz w:val="20"/>
          <w:szCs w:val="20"/>
        </w:rPr>
        <w:t xml:space="preserve">Program </w:t>
      </w:r>
      <w:proofErr w:type="spellStart"/>
      <w:r>
        <w:rPr>
          <w:rFonts w:ascii="Bookman Old Style" w:hAnsi="Bookman Old Style"/>
          <w:sz w:val="20"/>
          <w:szCs w:val="20"/>
        </w:rPr>
        <w:t>Dukungan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Manajemen</w:t>
      </w:r>
      <w:proofErr w:type="spellEnd"/>
      <w:r w:rsidR="00AE7A04">
        <w:rPr>
          <w:rFonts w:ascii="Bookman Old Style" w:hAnsi="Bookman Old Style"/>
          <w:sz w:val="20"/>
          <w:szCs w:val="20"/>
        </w:rPr>
        <w:br/>
      </w:r>
      <w:proofErr w:type="spellStart"/>
      <w:r w:rsidR="009C2A5F">
        <w:rPr>
          <w:rFonts w:ascii="Bookman Old Style" w:hAnsi="Bookman Old Style"/>
          <w:sz w:val="20"/>
          <w:szCs w:val="20"/>
        </w:rPr>
        <w:t>Pembinaan</w:t>
      </w:r>
      <w:proofErr w:type="spellEnd"/>
      <w:r w:rsidR="009C2A5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C2A5F">
        <w:rPr>
          <w:rFonts w:ascii="Bookman Old Style" w:hAnsi="Bookman Old Style"/>
          <w:sz w:val="20"/>
          <w:szCs w:val="20"/>
        </w:rPr>
        <w:t>Administrasi</w:t>
      </w:r>
      <w:proofErr w:type="spellEnd"/>
      <w:r w:rsidR="009C2A5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C2A5F">
        <w:rPr>
          <w:rFonts w:ascii="Bookman Old Style" w:hAnsi="Bookman Old Style"/>
          <w:sz w:val="20"/>
          <w:szCs w:val="20"/>
        </w:rPr>
        <w:t>dan</w:t>
      </w:r>
      <w:proofErr w:type="spellEnd"/>
      <w:r w:rsidR="009C2A5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C2A5F">
        <w:rPr>
          <w:rFonts w:ascii="Bookman Old Style" w:hAnsi="Bookman Old Style"/>
          <w:sz w:val="20"/>
          <w:szCs w:val="20"/>
        </w:rPr>
        <w:t>Pengelolaan</w:t>
      </w:r>
      <w:proofErr w:type="spellEnd"/>
      <w:r w:rsidR="009C2A5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C2A5F">
        <w:rPr>
          <w:rFonts w:ascii="Bookman Old Style" w:hAnsi="Bookman Old Style"/>
          <w:sz w:val="20"/>
          <w:szCs w:val="20"/>
        </w:rPr>
        <w:t>Keuangan</w:t>
      </w:r>
      <w:proofErr w:type="spellEnd"/>
      <w:r w:rsidR="009C2A5F">
        <w:rPr>
          <w:rFonts w:ascii="Bookman Old Style" w:hAnsi="Bookman Old Style"/>
          <w:sz w:val="20"/>
          <w:szCs w:val="20"/>
        </w:rPr>
        <w:t>;</w:t>
      </w:r>
    </w:p>
    <w:p w:rsidR="00E1718E" w:rsidRDefault="005A3F93" w:rsidP="00AE7A04">
      <w:pPr>
        <w:pStyle w:val="ListParagraph"/>
        <w:numPr>
          <w:ilvl w:val="0"/>
          <w:numId w:val="2"/>
        </w:numPr>
        <w:tabs>
          <w:tab w:val="left" w:pos="1985"/>
          <w:tab w:val="left" w:pos="3402"/>
        </w:tabs>
        <w:spacing w:line="312" w:lineRule="auto"/>
        <w:ind w:left="3600" w:hanging="1919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Satuan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Kerja</w:t>
      </w:r>
      <w:proofErr w:type="spellEnd"/>
      <w:r w:rsidR="00AE7A04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="00D50E93">
        <w:rPr>
          <w:rFonts w:ascii="Bookman Old Style" w:hAnsi="Bookman Old Style"/>
          <w:sz w:val="20"/>
          <w:szCs w:val="20"/>
        </w:rPr>
        <w:t>Pengadilan</w:t>
      </w:r>
      <w:proofErr w:type="spellEnd"/>
      <w:r w:rsidR="00D50E9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50E93">
        <w:rPr>
          <w:rFonts w:ascii="Bookman Old Style" w:hAnsi="Bookman Old Style"/>
          <w:sz w:val="20"/>
          <w:szCs w:val="20"/>
        </w:rPr>
        <w:t>Tinggi</w:t>
      </w:r>
      <w:proofErr w:type="spellEnd"/>
      <w:r w:rsidR="00D50E93">
        <w:rPr>
          <w:rFonts w:ascii="Bookman Old Style" w:hAnsi="Bookman Old Style"/>
          <w:sz w:val="20"/>
          <w:szCs w:val="20"/>
        </w:rPr>
        <w:t xml:space="preserve"> Agama Padang</w:t>
      </w:r>
    </w:p>
    <w:p w:rsidR="00E1718E" w:rsidRDefault="00D50E9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Keluaran</w:t>
      </w:r>
      <w:proofErr w:type="spellEnd"/>
      <w:r>
        <w:rPr>
          <w:rFonts w:ascii="Bookman Old Style" w:hAnsi="Bookman Old Style"/>
          <w:sz w:val="20"/>
          <w:szCs w:val="20"/>
        </w:rPr>
        <w:tab/>
        <w:t>: 1066.</w:t>
      </w:r>
      <w:r w:rsidR="005A3F93">
        <w:rPr>
          <w:rFonts w:ascii="Bookman Old Style" w:hAnsi="Bookman Old Style"/>
          <w:sz w:val="20"/>
          <w:szCs w:val="20"/>
        </w:rPr>
        <w:t>EAA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Layanan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Perkantoran</w:t>
      </w:r>
      <w:proofErr w:type="spellEnd"/>
      <w:r>
        <w:rPr>
          <w:rFonts w:ascii="Bookman Old Style" w:hAnsi="Bookman Old Style"/>
          <w:sz w:val="20"/>
          <w:szCs w:val="20"/>
        </w:rPr>
        <w:t>;</w:t>
      </w:r>
    </w:p>
    <w:p w:rsidR="00E1718E" w:rsidRDefault="00D50E9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Komponen</w:t>
      </w:r>
      <w:proofErr w:type="spellEnd"/>
      <w:r>
        <w:rPr>
          <w:rFonts w:ascii="Bookman Old Style" w:hAnsi="Bookman Old Style"/>
          <w:sz w:val="20"/>
          <w:szCs w:val="20"/>
        </w:rPr>
        <w:t xml:space="preserve"> : 1066.</w:t>
      </w:r>
      <w:r w:rsidR="005A3F93">
        <w:rPr>
          <w:rFonts w:ascii="Bookman Old Style" w:hAnsi="Bookman Old Style"/>
          <w:sz w:val="20"/>
          <w:szCs w:val="20"/>
        </w:rPr>
        <w:t>EAA</w:t>
      </w:r>
      <w:r>
        <w:rPr>
          <w:rFonts w:ascii="Bookman Old Style" w:hAnsi="Bookman Old Style"/>
          <w:sz w:val="20"/>
          <w:szCs w:val="20"/>
        </w:rPr>
        <w:t>.00</w:t>
      </w:r>
      <w:r>
        <w:rPr>
          <w:rFonts w:ascii="Bookman Old Style" w:hAnsi="Bookman Old Style"/>
          <w:sz w:val="20"/>
          <w:szCs w:val="20"/>
          <w:lang w:val="id-ID"/>
        </w:rPr>
        <w:t>1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id-ID"/>
        </w:rPr>
        <w:t>Gaji dan Tunjangan</w:t>
      </w:r>
    </w:p>
    <w:p w:rsidR="00E1718E" w:rsidRDefault="00D50E9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Revisi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tersebut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menyebabkan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pergeseran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id-ID"/>
        </w:rPr>
        <w:t xml:space="preserve">dalam </w:t>
      </w:r>
      <w:r w:rsidR="00E77722">
        <w:rPr>
          <w:rFonts w:ascii="Bookman Old Style" w:hAnsi="Bookman Old Style"/>
          <w:sz w:val="20"/>
          <w:szCs w:val="20"/>
          <w:lang w:val="en-ID"/>
        </w:rPr>
        <w:t>1 (</w:t>
      </w:r>
      <w:r>
        <w:rPr>
          <w:rFonts w:ascii="Bookman Old Style" w:hAnsi="Bookman Old Style"/>
          <w:sz w:val="20"/>
          <w:szCs w:val="20"/>
          <w:lang w:val="id-ID"/>
        </w:rPr>
        <w:t>satu</w:t>
      </w:r>
      <w:r w:rsidR="00E77722">
        <w:rPr>
          <w:rFonts w:ascii="Bookman Old Style" w:hAnsi="Bookman Old Style"/>
          <w:sz w:val="20"/>
          <w:szCs w:val="20"/>
          <w:lang w:val="en-ID"/>
        </w:rPr>
        <w:t>)</w:t>
      </w:r>
      <w:r>
        <w:rPr>
          <w:rFonts w:ascii="Bookman Old Style" w:hAnsi="Bookman Old Style"/>
          <w:sz w:val="20"/>
          <w:szCs w:val="20"/>
          <w:lang w:val="id-ID"/>
        </w:rPr>
        <w:t xml:space="preserve"> kegiatan </w:t>
      </w:r>
      <w:proofErr w:type="spellStart"/>
      <w:r w:rsidR="00E77722">
        <w:rPr>
          <w:rFonts w:ascii="Bookman Old Style" w:hAnsi="Bookman Old Style"/>
          <w:sz w:val="20"/>
          <w:szCs w:val="20"/>
          <w:lang w:val="en-ID"/>
        </w:rPr>
        <w:t>dan</w:t>
      </w:r>
      <w:proofErr w:type="spellEnd"/>
      <w:r w:rsidR="00E77722">
        <w:rPr>
          <w:rFonts w:ascii="Bookman Old Style" w:hAnsi="Bookman Old Style"/>
          <w:sz w:val="20"/>
          <w:szCs w:val="20"/>
          <w:lang w:val="en-ID"/>
        </w:rPr>
        <w:t xml:space="preserve"> 1 (</w:t>
      </w:r>
      <w:proofErr w:type="spellStart"/>
      <w:r w:rsidR="00E77722">
        <w:rPr>
          <w:rFonts w:ascii="Bookman Old Style" w:hAnsi="Bookman Old Style"/>
          <w:sz w:val="20"/>
          <w:szCs w:val="20"/>
          <w:lang w:val="en-ID"/>
        </w:rPr>
        <w:t>satu</w:t>
      </w:r>
      <w:proofErr w:type="spellEnd"/>
      <w:r w:rsidR="00E77722">
        <w:rPr>
          <w:rFonts w:ascii="Bookman Old Style" w:hAnsi="Bookman Old Style"/>
          <w:sz w:val="20"/>
          <w:szCs w:val="20"/>
          <w:lang w:val="en-ID"/>
        </w:rPr>
        <w:t xml:space="preserve">) </w:t>
      </w:r>
      <w:proofErr w:type="spellStart"/>
      <w:r w:rsidR="00E77722">
        <w:rPr>
          <w:rFonts w:ascii="Bookman Old Style" w:hAnsi="Bookman Old Style"/>
          <w:sz w:val="20"/>
          <w:szCs w:val="20"/>
          <w:lang w:val="en-ID"/>
        </w:rPr>
        <w:t>komponen</w:t>
      </w:r>
      <w:proofErr w:type="spellEnd"/>
      <w:r w:rsidR="00E77722">
        <w:rPr>
          <w:rFonts w:ascii="Bookman Old Style" w:hAnsi="Bookman Old Style"/>
          <w:sz w:val="20"/>
          <w:szCs w:val="20"/>
          <w:lang w:val="en-ID"/>
        </w:rPr>
        <w:t xml:space="preserve"> yang </w:t>
      </w:r>
      <w:proofErr w:type="spellStart"/>
      <w:proofErr w:type="gramStart"/>
      <w:r w:rsidR="00E77722">
        <w:rPr>
          <w:rFonts w:ascii="Bookman Old Style" w:hAnsi="Bookman Old Style"/>
          <w:sz w:val="20"/>
          <w:szCs w:val="20"/>
          <w:lang w:val="en-ID"/>
        </w:rPr>
        <w:t>sama</w:t>
      </w:r>
      <w:proofErr w:type="spellEnd"/>
      <w:proofErr w:type="gramEnd"/>
      <w:r w:rsidR="00E77722">
        <w:rPr>
          <w:rFonts w:ascii="Bookman Old Style" w:hAnsi="Bookman Old Style"/>
          <w:sz w:val="20"/>
          <w:szCs w:val="20"/>
          <w:lang w:val="en-ID"/>
        </w:rPr>
        <w:t xml:space="preserve"> </w:t>
      </w:r>
      <w:proofErr w:type="spellStart"/>
      <w:r w:rsidR="00E77722">
        <w:rPr>
          <w:rFonts w:ascii="Bookman Old Style" w:hAnsi="Bookman Old Style"/>
          <w:sz w:val="20"/>
          <w:szCs w:val="20"/>
          <w:lang w:val="en-ID"/>
        </w:rPr>
        <w:t>dalam</w:t>
      </w:r>
      <w:proofErr w:type="spellEnd"/>
      <w:r w:rsidR="00E77722">
        <w:rPr>
          <w:rFonts w:ascii="Bookman Old Style" w:hAnsi="Bookman Old Style"/>
          <w:sz w:val="20"/>
          <w:szCs w:val="20"/>
          <w:lang w:val="en-ID"/>
        </w:rPr>
        <w:t xml:space="preserve"> 1 (</w:t>
      </w:r>
      <w:proofErr w:type="spellStart"/>
      <w:r w:rsidR="005A3F93">
        <w:rPr>
          <w:rFonts w:ascii="Bookman Old Style" w:hAnsi="Bookman Old Style"/>
          <w:sz w:val="20"/>
          <w:szCs w:val="20"/>
        </w:rPr>
        <w:t>satu</w:t>
      </w:r>
      <w:proofErr w:type="spellEnd"/>
      <w:r w:rsidR="00E77722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satker</w:t>
      </w:r>
      <w:proofErr w:type="spellEnd"/>
      <w:r>
        <w:rPr>
          <w:rFonts w:ascii="Bookman Old Style" w:hAnsi="Bookman Old Style"/>
          <w:sz w:val="20"/>
          <w:szCs w:val="20"/>
          <w:lang w:val="id-ID"/>
        </w:rPr>
        <w:t>.</w:t>
      </w:r>
    </w:p>
    <w:p w:rsidR="00E1718E" w:rsidRDefault="00D50E9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Pergeseran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tersebut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dapat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dijelaskan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matriks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semula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menjadi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sebagai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berikut</w:t>
      </w:r>
      <w:proofErr w:type="spellEnd"/>
      <w:r>
        <w:rPr>
          <w:rFonts w:ascii="Bookman Old Style" w:hAnsi="Bookman Old Style"/>
          <w:sz w:val="20"/>
          <w:szCs w:val="20"/>
        </w:rPr>
        <w:t>: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99"/>
        <w:gridCol w:w="1596"/>
        <w:gridCol w:w="1721"/>
        <w:gridCol w:w="1752"/>
      </w:tblGrid>
      <w:tr w:rsidR="00E1718E" w:rsidTr="00672728">
        <w:trPr>
          <w:trHeight w:val="300"/>
          <w:tblHeader/>
          <w:jc w:val="center"/>
        </w:trPr>
        <w:tc>
          <w:tcPr>
            <w:tcW w:w="1668" w:type="dxa"/>
            <w:vMerge w:val="restart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Program/</w:t>
            </w:r>
          </w:p>
          <w:p w:rsidR="00E1718E" w:rsidRDefault="00D5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Output/</w:t>
            </w: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Akun</w:t>
            </w:r>
            <w:proofErr w:type="spellEnd"/>
          </w:p>
        </w:tc>
        <w:tc>
          <w:tcPr>
            <w:tcW w:w="3299" w:type="dxa"/>
            <w:vMerge w:val="restart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Uraian</w:t>
            </w:r>
            <w:proofErr w:type="spellEnd"/>
          </w:p>
        </w:tc>
        <w:tc>
          <w:tcPr>
            <w:tcW w:w="5069" w:type="dxa"/>
            <w:gridSpan w:val="3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val="id-ID" w:eastAsia="id-ID"/>
              </w:rPr>
              <w:t>Pagu Anggaran</w:t>
            </w:r>
          </w:p>
        </w:tc>
      </w:tr>
      <w:tr w:rsidR="00672728" w:rsidTr="00672728">
        <w:trPr>
          <w:trHeight w:val="300"/>
          <w:tblHeader/>
          <w:jc w:val="center"/>
        </w:trPr>
        <w:tc>
          <w:tcPr>
            <w:tcW w:w="1668" w:type="dxa"/>
            <w:vMerge/>
            <w:shd w:val="clear" w:color="auto" w:fill="auto"/>
            <w:noWrap/>
            <w:vAlign w:val="center"/>
          </w:tcPr>
          <w:p w:rsidR="00E1718E" w:rsidRDefault="00E1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3299" w:type="dxa"/>
            <w:vMerge/>
            <w:shd w:val="clear" w:color="auto" w:fill="auto"/>
            <w:noWrap/>
            <w:vAlign w:val="center"/>
          </w:tcPr>
          <w:p w:rsidR="00E1718E" w:rsidRDefault="00E17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Semula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Menjadi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val="id-ID" w:eastAsia="id-ID"/>
              </w:rPr>
              <w:t>+/-</w:t>
            </w:r>
          </w:p>
        </w:tc>
      </w:tr>
      <w:tr w:rsidR="00672728" w:rsidTr="00672728">
        <w:trPr>
          <w:trHeight w:val="300"/>
          <w:tblHeader/>
          <w:jc w:val="center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E1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329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E17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Jumlah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 xml:space="preserve"> (</w:t>
            </w: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)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Jumlah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 xml:space="preserve"> (</w:t>
            </w: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)</w:t>
            </w:r>
          </w:p>
        </w:tc>
        <w:tc>
          <w:tcPr>
            <w:tcW w:w="175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Jumlah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 xml:space="preserve"> (</w:t>
            </w: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)</w:t>
            </w:r>
          </w:p>
        </w:tc>
      </w:tr>
      <w:tr w:rsidR="00E1718E" w:rsidTr="00672728">
        <w:trPr>
          <w:trHeight w:val="300"/>
          <w:jc w:val="center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005.01.01</w:t>
            </w:r>
          </w:p>
        </w:tc>
        <w:tc>
          <w:tcPr>
            <w:tcW w:w="8368" w:type="dxa"/>
            <w:gridSpan w:val="4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AE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AE7A0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Program </w:t>
            </w:r>
            <w:proofErr w:type="spellStart"/>
            <w:r w:rsidRPr="00AE7A0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Dukungan</w:t>
            </w:r>
            <w:proofErr w:type="spellEnd"/>
            <w:r w:rsidRPr="00AE7A0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AE7A0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Manajemen</w:t>
            </w:r>
            <w:proofErr w:type="spellEnd"/>
            <w:r w:rsidRPr="00AE7A0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AE7A0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Pembinaan</w:t>
            </w:r>
            <w:proofErr w:type="spellEnd"/>
            <w:r w:rsidRPr="00AE7A0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AE7A0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Administrasi</w:t>
            </w:r>
            <w:proofErr w:type="spellEnd"/>
            <w:r w:rsidRPr="00AE7A0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AE7A0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dan</w:t>
            </w:r>
            <w:proofErr w:type="spellEnd"/>
            <w:r w:rsidRPr="00AE7A0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AE7A0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Pengelolaan</w:t>
            </w:r>
            <w:proofErr w:type="spellEnd"/>
            <w:r w:rsidRPr="00AE7A0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AE7A0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Keuangan</w:t>
            </w:r>
            <w:proofErr w:type="spellEnd"/>
          </w:p>
        </w:tc>
      </w:tr>
      <w:tr w:rsidR="00E1718E" w:rsidTr="00672728">
        <w:trPr>
          <w:trHeight w:val="30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E1718E" w:rsidRDefault="00D50E93" w:rsidP="005A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1066.</w:t>
            </w:r>
            <w:r w:rsidR="005A3F93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EAA</w:t>
            </w:r>
          </w:p>
        </w:tc>
        <w:tc>
          <w:tcPr>
            <w:tcW w:w="8368" w:type="dxa"/>
            <w:gridSpan w:val="4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Layanan</w:t>
            </w:r>
            <w:proofErr w:type="spellEnd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Perkantoran</w:t>
            </w:r>
            <w:proofErr w:type="spellEnd"/>
          </w:p>
        </w:tc>
      </w:tr>
      <w:tr w:rsidR="00E1718E" w:rsidTr="00672728">
        <w:trPr>
          <w:trHeight w:val="30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E1718E" w:rsidRDefault="00D50E93" w:rsidP="005A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1066.</w:t>
            </w:r>
            <w:r w:rsidR="005A3F93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EAA</w:t>
            </w:r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.001</w:t>
            </w:r>
          </w:p>
        </w:tc>
        <w:tc>
          <w:tcPr>
            <w:tcW w:w="8368" w:type="dxa"/>
            <w:gridSpan w:val="4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Gaji</w:t>
            </w:r>
            <w:proofErr w:type="spellEnd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dan</w:t>
            </w:r>
            <w:proofErr w:type="spellEnd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Tunjangan</w:t>
            </w:r>
            <w:proofErr w:type="spellEnd"/>
          </w:p>
        </w:tc>
      </w:tr>
      <w:tr w:rsidR="00672728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672728" w:rsidRDefault="0067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672728">
              <w:rPr>
                <w:rFonts w:ascii="Arial Narrow" w:hAnsi="Arial Narrow"/>
              </w:rPr>
              <w:t>Pengadilan</w:t>
            </w:r>
            <w:proofErr w:type="spellEnd"/>
            <w:r w:rsidRPr="00672728">
              <w:rPr>
                <w:rFonts w:ascii="Arial Narrow" w:hAnsi="Arial Narrow"/>
              </w:rPr>
              <w:t xml:space="preserve"> </w:t>
            </w:r>
            <w:proofErr w:type="spellStart"/>
            <w:r w:rsidRPr="00672728">
              <w:rPr>
                <w:rFonts w:ascii="Arial Narrow" w:hAnsi="Arial Narrow"/>
              </w:rPr>
              <w:t>Tinggi</w:t>
            </w:r>
            <w:proofErr w:type="spellEnd"/>
            <w:r w:rsidRPr="00672728">
              <w:rPr>
                <w:rFonts w:ascii="Arial Narrow" w:hAnsi="Arial Narrow"/>
              </w:rPr>
              <w:t xml:space="preserve"> Agama Padang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jc w:val="right"/>
              <w:rPr>
                <w:rFonts w:ascii="Arial Narrow" w:hAnsi="Arial Narrow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</w:p>
        </w:tc>
      </w:tr>
      <w:tr w:rsidR="001D75DA" w:rsidTr="001D75DA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1D75DA" w:rsidRDefault="001D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5A3F93">
              <w:rPr>
                <w:rFonts w:ascii="Calibri" w:eastAsia="Times New Roman" w:hAnsi="Calibri" w:cs="Calibri"/>
                <w:color w:val="000000"/>
                <w:lang w:val="id-ID" w:eastAsia="id-ID"/>
              </w:rPr>
              <w:t>511121</w:t>
            </w: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1D75DA" w:rsidRPr="00672728" w:rsidRDefault="001D75DA" w:rsidP="00672728">
            <w:pPr>
              <w:spacing w:before="60" w:after="6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Belanja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Tunj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Suami</w:t>
            </w:r>
            <w:proofErr w:type="spellEnd"/>
            <w:r>
              <w:rPr>
                <w:rFonts w:ascii="Arial Narrow" w:hAnsi="Arial Narrow"/>
              </w:rPr>
              <w:t xml:space="preserve">/ </w:t>
            </w:r>
            <w:proofErr w:type="spellStart"/>
            <w:r>
              <w:rPr>
                <w:rFonts w:ascii="Arial Narrow" w:hAnsi="Arial Narrow"/>
              </w:rPr>
              <w:t>Istri</w:t>
            </w:r>
            <w:proofErr w:type="spellEnd"/>
            <w:r>
              <w:rPr>
                <w:rFonts w:ascii="Arial Narrow" w:hAnsi="Arial Narrow"/>
              </w:rPr>
              <w:t xml:space="preserve"> PNS</w:t>
            </w:r>
          </w:p>
        </w:tc>
        <w:tc>
          <w:tcPr>
            <w:tcW w:w="1596" w:type="dxa"/>
            <w:shd w:val="clear" w:color="auto" w:fill="auto"/>
            <w:noWrap/>
          </w:tcPr>
          <w:p w:rsidR="001D75DA" w:rsidRPr="005A3F93" w:rsidRDefault="001D75DA" w:rsidP="005A3F93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5A3F93">
              <w:rPr>
                <w:rFonts w:ascii="Arial Narrow" w:hAnsi="Arial Narrow"/>
              </w:rPr>
              <w:t xml:space="preserve"> 226.445.000 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D75DA" w:rsidRPr="00672728" w:rsidRDefault="001D75DA" w:rsidP="001D75DA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1D75DA">
              <w:rPr>
                <w:rFonts w:ascii="Arial Narrow" w:hAnsi="Arial Narrow"/>
              </w:rPr>
              <w:t>226.470.000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1D75DA" w:rsidRPr="001D75DA" w:rsidRDefault="001D75DA" w:rsidP="001D75DA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1D75DA">
              <w:rPr>
                <w:rFonts w:ascii="Arial Narrow" w:hAnsi="Arial Narrow"/>
              </w:rPr>
              <w:t>-25.000</w:t>
            </w:r>
          </w:p>
        </w:tc>
      </w:tr>
      <w:tr w:rsidR="001D75DA" w:rsidTr="001D75DA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1D75DA" w:rsidRDefault="001D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5A3F93">
              <w:rPr>
                <w:rFonts w:ascii="Calibri" w:eastAsia="Times New Roman" w:hAnsi="Calibri" w:cs="Calibri"/>
                <w:color w:val="000000"/>
                <w:lang w:val="id-ID" w:eastAsia="id-ID"/>
              </w:rPr>
              <w:t>511122</w:t>
            </w: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1D75DA" w:rsidRPr="00672728" w:rsidRDefault="001D75DA" w:rsidP="00672728">
            <w:pPr>
              <w:spacing w:before="60" w:after="6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Belanja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Tunj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Anak</w:t>
            </w:r>
            <w:proofErr w:type="spellEnd"/>
            <w:r>
              <w:rPr>
                <w:rFonts w:ascii="Arial Narrow" w:hAnsi="Arial Narrow"/>
              </w:rPr>
              <w:t xml:space="preserve"> PNS</w:t>
            </w:r>
          </w:p>
        </w:tc>
        <w:tc>
          <w:tcPr>
            <w:tcW w:w="1596" w:type="dxa"/>
            <w:shd w:val="clear" w:color="auto" w:fill="auto"/>
            <w:noWrap/>
          </w:tcPr>
          <w:p w:rsidR="001D75DA" w:rsidRPr="005A3F93" w:rsidRDefault="001D75DA" w:rsidP="005A3F93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5A3F93">
              <w:rPr>
                <w:rFonts w:ascii="Arial Narrow" w:hAnsi="Arial Narrow"/>
              </w:rPr>
              <w:t xml:space="preserve"> 48.937.000 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D75DA" w:rsidRPr="00672728" w:rsidRDefault="001D75DA" w:rsidP="005A3F93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1D75DA">
              <w:rPr>
                <w:rFonts w:ascii="Arial Narrow" w:hAnsi="Arial Narrow"/>
              </w:rPr>
              <w:t>48.946.000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1D75DA" w:rsidRPr="001D75DA" w:rsidRDefault="001D75DA" w:rsidP="001D75DA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1D75DA">
              <w:rPr>
                <w:rFonts w:ascii="Arial Narrow" w:hAnsi="Arial Narrow"/>
              </w:rPr>
              <w:t>-9.000</w:t>
            </w:r>
          </w:p>
        </w:tc>
      </w:tr>
      <w:tr w:rsidR="001D75DA" w:rsidTr="001D75DA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1D75DA" w:rsidRDefault="001D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5A3F93">
              <w:rPr>
                <w:rFonts w:ascii="Calibri" w:eastAsia="Times New Roman" w:hAnsi="Calibri" w:cs="Calibri"/>
                <w:color w:val="000000"/>
                <w:lang w:val="id-ID" w:eastAsia="id-ID"/>
              </w:rPr>
              <w:t>511124</w:t>
            </w: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1D75DA" w:rsidRPr="00672728" w:rsidRDefault="001D75DA" w:rsidP="00672728">
            <w:pPr>
              <w:spacing w:before="60" w:after="6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Belanja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Tunj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Fungsional</w:t>
            </w:r>
            <w:proofErr w:type="spellEnd"/>
            <w:r>
              <w:rPr>
                <w:rFonts w:ascii="Arial Narrow" w:hAnsi="Arial Narrow"/>
              </w:rPr>
              <w:t xml:space="preserve"> PNS</w:t>
            </w:r>
          </w:p>
        </w:tc>
        <w:tc>
          <w:tcPr>
            <w:tcW w:w="1596" w:type="dxa"/>
            <w:shd w:val="clear" w:color="auto" w:fill="auto"/>
            <w:noWrap/>
          </w:tcPr>
          <w:p w:rsidR="001D75DA" w:rsidRPr="005A3F93" w:rsidRDefault="001D75DA" w:rsidP="005A3F93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5A3F93">
              <w:rPr>
                <w:rFonts w:ascii="Arial Narrow" w:hAnsi="Arial Narrow"/>
              </w:rPr>
              <w:t xml:space="preserve"> 4.941.175.000 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D75DA" w:rsidRPr="00672728" w:rsidRDefault="001D75DA" w:rsidP="005A3F93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1D75DA">
              <w:rPr>
                <w:rFonts w:ascii="Arial Narrow" w:hAnsi="Arial Narrow"/>
              </w:rPr>
              <w:t>4.942.075.000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1D75DA" w:rsidRPr="001D75DA" w:rsidRDefault="001D75DA" w:rsidP="001D75DA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1D75DA">
              <w:rPr>
                <w:rFonts w:ascii="Arial Narrow" w:hAnsi="Arial Narrow"/>
              </w:rPr>
              <w:t>-900.000</w:t>
            </w:r>
          </w:p>
        </w:tc>
      </w:tr>
      <w:tr w:rsidR="001D75DA" w:rsidTr="001D75DA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1D75DA" w:rsidRDefault="001D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5A3F93">
              <w:rPr>
                <w:rFonts w:ascii="Calibri" w:eastAsia="Times New Roman" w:hAnsi="Calibri" w:cs="Calibri"/>
                <w:color w:val="000000"/>
                <w:lang w:val="id-ID" w:eastAsia="id-ID"/>
              </w:rPr>
              <w:t>511129</w:t>
            </w: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1D75DA" w:rsidRPr="00672728" w:rsidRDefault="001D75DA" w:rsidP="005A3F93">
            <w:pPr>
              <w:spacing w:before="60" w:after="6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Belanja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Makan</w:t>
            </w:r>
            <w:proofErr w:type="spellEnd"/>
            <w:r>
              <w:rPr>
                <w:rFonts w:ascii="Arial Narrow" w:hAnsi="Arial Narrow"/>
              </w:rPr>
              <w:t xml:space="preserve"> PNS</w:t>
            </w:r>
          </w:p>
        </w:tc>
        <w:tc>
          <w:tcPr>
            <w:tcW w:w="1596" w:type="dxa"/>
            <w:shd w:val="clear" w:color="auto" w:fill="auto"/>
            <w:noWrap/>
          </w:tcPr>
          <w:p w:rsidR="001D75DA" w:rsidRPr="005A3F93" w:rsidRDefault="001D75DA" w:rsidP="005A3F93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5A3F93">
              <w:rPr>
                <w:rFonts w:ascii="Arial Narrow" w:hAnsi="Arial Narrow"/>
              </w:rPr>
              <w:t xml:space="preserve"> 387.305.000 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D75DA" w:rsidRPr="00672728" w:rsidRDefault="001D75DA" w:rsidP="005A3F93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1D75DA">
              <w:rPr>
                <w:rFonts w:ascii="Arial Narrow" w:hAnsi="Arial Narrow"/>
              </w:rPr>
              <w:t>386.371.000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1D75DA" w:rsidRPr="001D75DA" w:rsidRDefault="001D75DA" w:rsidP="001D75DA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1D75DA">
              <w:rPr>
                <w:rFonts w:ascii="Arial Narrow" w:hAnsi="Arial Narrow"/>
              </w:rPr>
              <w:t>934.000</w:t>
            </w:r>
          </w:p>
        </w:tc>
      </w:tr>
      <w:tr w:rsidR="00431E72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431E72" w:rsidRDefault="00431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431E72" w:rsidRDefault="00431E72" w:rsidP="0043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Jumlah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431E72" w:rsidRPr="00431E72" w:rsidRDefault="00431E7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</w:pP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begin"/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instrText xml:space="preserve"> =SUM(ABOVE) </w:instrTex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separate"/>
            </w:r>
            <w:r w:rsidR="005A3F93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lang w:val="id-ID" w:eastAsia="id-ID"/>
              </w:rPr>
              <w:t>5.603.862.000</w: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end"/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31E72" w:rsidRPr="00431E72" w:rsidRDefault="00431E72" w:rsidP="00A76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</w:pP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begin"/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instrText xml:space="preserve"> =SUM(ABOVE) </w:instrTex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separate"/>
            </w:r>
            <w:r w:rsidR="001D75D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lang w:val="id-ID" w:eastAsia="id-ID"/>
              </w:rPr>
              <w:t>5.603.862.000</w: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end"/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431E72" w:rsidRPr="00431E72" w:rsidRDefault="00431E72" w:rsidP="00A76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</w:pP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begin"/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instrText xml:space="preserve"> =SUM(ABOVE) </w:instrTex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separate"/>
            </w:r>
            <w:r w:rsidR="001D75D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lang w:val="id-ID" w:eastAsia="id-ID"/>
              </w:rPr>
              <w:t>0</w: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end"/>
            </w:r>
          </w:p>
        </w:tc>
      </w:tr>
    </w:tbl>
    <w:p w:rsidR="00E1718E" w:rsidRDefault="00E1718E">
      <w:pPr>
        <w:spacing w:line="312" w:lineRule="auto"/>
        <w:jc w:val="both"/>
        <w:rPr>
          <w:rFonts w:ascii="Bookman Old Style" w:hAnsi="Bookman Old Style"/>
          <w:sz w:val="20"/>
          <w:szCs w:val="20"/>
        </w:rPr>
      </w:pPr>
    </w:p>
    <w:p w:rsidR="001D75DA" w:rsidRDefault="001D75DA">
      <w:pPr>
        <w:spacing w:line="312" w:lineRule="auto"/>
        <w:jc w:val="both"/>
        <w:rPr>
          <w:rFonts w:ascii="Bookman Old Style" w:hAnsi="Bookman Old Style"/>
          <w:sz w:val="20"/>
          <w:szCs w:val="20"/>
        </w:rPr>
      </w:pPr>
    </w:p>
    <w:p w:rsidR="001D75DA" w:rsidRDefault="001D75DA">
      <w:pPr>
        <w:spacing w:line="312" w:lineRule="auto"/>
        <w:jc w:val="both"/>
        <w:rPr>
          <w:rFonts w:ascii="Bookman Old Style" w:hAnsi="Bookman Old Style"/>
          <w:sz w:val="20"/>
          <w:szCs w:val="20"/>
        </w:rPr>
      </w:pPr>
    </w:p>
    <w:p w:rsidR="00E1718E" w:rsidRDefault="00D50E93">
      <w:pPr>
        <w:spacing w:line="312" w:lineRule="auto"/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sz w:val="20"/>
          <w:szCs w:val="20"/>
        </w:rPr>
        <w:t>Demikian</w:t>
      </w:r>
      <w:proofErr w:type="spellEnd"/>
      <w:r>
        <w:rPr>
          <w:rFonts w:ascii="Bookman Old Style" w:hAnsi="Bookman Old Style"/>
          <w:sz w:val="20"/>
          <w:szCs w:val="20"/>
        </w:rPr>
        <w:t xml:space="preserve"> kami </w:t>
      </w:r>
      <w:proofErr w:type="spellStart"/>
      <w:r>
        <w:rPr>
          <w:rFonts w:ascii="Bookman Old Style" w:hAnsi="Bookman Old Style"/>
          <w:sz w:val="20"/>
          <w:szCs w:val="20"/>
        </w:rPr>
        <w:t>sampaikan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harapan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dapat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disetujui</w:t>
      </w:r>
      <w:proofErr w:type="spellEnd"/>
      <w:r>
        <w:rPr>
          <w:rFonts w:ascii="Bookman Old Style" w:hAnsi="Bookman Old Style"/>
          <w:sz w:val="20"/>
          <w:szCs w:val="20"/>
        </w:rPr>
        <w:t>.</w:t>
      </w:r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0"/>
          <w:szCs w:val="20"/>
        </w:rPr>
        <w:t>atas</w:t>
      </w:r>
      <w:proofErr w:type="spellEnd"/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perhatiannya</w:t>
      </w:r>
      <w:proofErr w:type="spellEnd"/>
      <w:r>
        <w:rPr>
          <w:rFonts w:ascii="Bookman Old Style" w:hAnsi="Bookman Old Style"/>
          <w:sz w:val="20"/>
          <w:szCs w:val="20"/>
        </w:rPr>
        <w:t xml:space="preserve"> kami </w:t>
      </w:r>
      <w:proofErr w:type="spellStart"/>
      <w:r>
        <w:rPr>
          <w:rFonts w:ascii="Bookman Old Style" w:hAnsi="Bookman Old Style"/>
          <w:sz w:val="20"/>
          <w:szCs w:val="20"/>
        </w:rPr>
        <w:t>ucapkan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terima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kasih</w:t>
      </w:r>
      <w:proofErr w:type="spellEnd"/>
      <w:r>
        <w:rPr>
          <w:rFonts w:ascii="Bookman Old Style" w:hAnsi="Bookman Old Style"/>
          <w:sz w:val="20"/>
          <w:szCs w:val="20"/>
        </w:rPr>
        <w:t xml:space="preserve"> .</w:t>
      </w:r>
    </w:p>
    <w:p w:rsidR="00E1718E" w:rsidRDefault="00E1718E">
      <w:pPr>
        <w:spacing w:after="0" w:line="240" w:lineRule="auto"/>
        <w:ind w:left="6674" w:firstLine="526"/>
        <w:rPr>
          <w:rFonts w:ascii="Bookman Old Style" w:hAnsi="Bookman Old Style"/>
          <w:sz w:val="20"/>
          <w:szCs w:val="20"/>
          <w:lang w:val="id-ID"/>
        </w:rPr>
      </w:pPr>
    </w:p>
    <w:p w:rsidR="00E1718E" w:rsidRDefault="00D50E93">
      <w:pPr>
        <w:spacing w:after="0" w:line="240" w:lineRule="auto"/>
        <w:ind w:left="6674" w:firstLine="5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id-ID"/>
        </w:rPr>
        <w:t>Wassalam</w:t>
      </w:r>
      <w:r>
        <w:rPr>
          <w:rFonts w:ascii="Bookman Old Style" w:hAnsi="Bookman Old Style"/>
          <w:sz w:val="20"/>
          <w:szCs w:val="20"/>
        </w:rPr>
        <w:t>,</w:t>
      </w:r>
    </w:p>
    <w:p w:rsidR="00E1718E" w:rsidRDefault="00D50E93">
      <w:pPr>
        <w:spacing w:after="0" w:line="240" w:lineRule="auto"/>
        <w:ind w:left="6674" w:firstLine="526"/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b/>
          <w:sz w:val="20"/>
          <w:szCs w:val="20"/>
        </w:rPr>
        <w:t>Sekretaris</w:t>
      </w:r>
      <w:proofErr w:type="spellEnd"/>
    </w:p>
    <w:p w:rsidR="00E1718E" w:rsidRDefault="00E1718E">
      <w:pPr>
        <w:spacing w:after="0" w:line="240" w:lineRule="auto"/>
        <w:ind w:left="5954"/>
        <w:rPr>
          <w:rFonts w:ascii="Bookman Old Style" w:hAnsi="Bookman Old Style"/>
          <w:b/>
          <w:sz w:val="20"/>
          <w:szCs w:val="20"/>
        </w:rPr>
      </w:pPr>
    </w:p>
    <w:p w:rsidR="00E1718E" w:rsidRDefault="00E1718E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E1718E" w:rsidRDefault="00E1718E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E1718E" w:rsidRDefault="00E1718E">
      <w:pPr>
        <w:spacing w:after="0" w:line="240" w:lineRule="auto"/>
        <w:ind w:left="5954"/>
        <w:rPr>
          <w:rFonts w:ascii="Bookman Old Style" w:hAnsi="Bookman Old Style"/>
          <w:b/>
          <w:sz w:val="20"/>
          <w:szCs w:val="20"/>
        </w:rPr>
      </w:pPr>
    </w:p>
    <w:p w:rsidR="00E1718E" w:rsidRDefault="001D75DA">
      <w:pPr>
        <w:spacing w:after="0" w:line="240" w:lineRule="auto"/>
        <w:ind w:left="6674" w:firstLine="526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/>
          <w:sz w:val="20"/>
          <w:szCs w:val="20"/>
        </w:rPr>
        <w:t>Irsyadi</w:t>
      </w:r>
      <w:proofErr w:type="spellEnd"/>
    </w:p>
    <w:sectPr w:rsidR="00E1718E" w:rsidSect="00E77722">
      <w:pgSz w:w="11850" w:h="16783"/>
      <w:pgMar w:top="851" w:right="1038" w:bottom="141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5EE"/>
    <w:multiLevelType w:val="multilevel"/>
    <w:tmpl w:val="08BC55EE"/>
    <w:lvl w:ilvl="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01" w:hanging="360"/>
      </w:pPr>
    </w:lvl>
    <w:lvl w:ilvl="2">
      <w:start w:val="1"/>
      <w:numFmt w:val="lowerRoman"/>
      <w:lvlText w:val="%3."/>
      <w:lvlJc w:val="right"/>
      <w:pPr>
        <w:ind w:left="3121" w:hanging="180"/>
      </w:pPr>
    </w:lvl>
    <w:lvl w:ilvl="3">
      <w:start w:val="1"/>
      <w:numFmt w:val="decimal"/>
      <w:lvlText w:val="%4."/>
      <w:lvlJc w:val="left"/>
      <w:pPr>
        <w:ind w:left="3841" w:hanging="360"/>
      </w:pPr>
    </w:lvl>
    <w:lvl w:ilvl="4">
      <w:start w:val="1"/>
      <w:numFmt w:val="lowerLetter"/>
      <w:lvlText w:val="%5."/>
      <w:lvlJc w:val="left"/>
      <w:pPr>
        <w:ind w:left="4561" w:hanging="360"/>
      </w:pPr>
    </w:lvl>
    <w:lvl w:ilvl="5">
      <w:start w:val="1"/>
      <w:numFmt w:val="lowerRoman"/>
      <w:lvlText w:val="%6."/>
      <w:lvlJc w:val="right"/>
      <w:pPr>
        <w:ind w:left="5281" w:hanging="180"/>
      </w:pPr>
    </w:lvl>
    <w:lvl w:ilvl="6">
      <w:start w:val="1"/>
      <w:numFmt w:val="decimal"/>
      <w:lvlText w:val="%7."/>
      <w:lvlJc w:val="left"/>
      <w:pPr>
        <w:ind w:left="6001" w:hanging="360"/>
      </w:pPr>
    </w:lvl>
    <w:lvl w:ilvl="7">
      <w:start w:val="1"/>
      <w:numFmt w:val="lowerLetter"/>
      <w:lvlText w:val="%8."/>
      <w:lvlJc w:val="left"/>
      <w:pPr>
        <w:ind w:left="6721" w:hanging="360"/>
      </w:pPr>
    </w:lvl>
    <w:lvl w:ilvl="8">
      <w:start w:val="1"/>
      <w:numFmt w:val="lowerRoman"/>
      <w:lvlText w:val="%9."/>
      <w:lvlJc w:val="right"/>
      <w:pPr>
        <w:ind w:left="7441" w:hanging="180"/>
      </w:pPr>
    </w:lvl>
  </w:abstractNum>
  <w:abstractNum w:abstractNumId="1">
    <w:nsid w:val="13432C6C"/>
    <w:multiLevelType w:val="multilevel"/>
    <w:tmpl w:val="13432C6C"/>
    <w:lvl w:ilvl="0">
      <w:start w:val="1"/>
      <w:numFmt w:val="lowerLetter"/>
      <w:lvlText w:val="%1.)"/>
      <w:lvlJc w:val="left"/>
      <w:pPr>
        <w:ind w:left="1778" w:hanging="360"/>
      </w:pPr>
      <w:rPr>
        <w:rFonts w:ascii="Bookman Old Style" w:eastAsiaTheme="minorHAnsi" w:hAnsi="Bookman Old Style" w:cstheme="minorBidi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C9A7438"/>
    <w:multiLevelType w:val="multilevel"/>
    <w:tmpl w:val="7C9A7438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35E0F"/>
    <w:rsid w:val="00042249"/>
    <w:rsid w:val="00043F86"/>
    <w:rsid w:val="00053717"/>
    <w:rsid w:val="000C37EE"/>
    <w:rsid w:val="000D0A7D"/>
    <w:rsid w:val="000D7DFC"/>
    <w:rsid w:val="00117005"/>
    <w:rsid w:val="001207A4"/>
    <w:rsid w:val="001300EF"/>
    <w:rsid w:val="00130677"/>
    <w:rsid w:val="00131A49"/>
    <w:rsid w:val="001333EE"/>
    <w:rsid w:val="00147F6A"/>
    <w:rsid w:val="0017265F"/>
    <w:rsid w:val="00182CE0"/>
    <w:rsid w:val="00182F57"/>
    <w:rsid w:val="001937C2"/>
    <w:rsid w:val="001943AB"/>
    <w:rsid w:val="00194E3E"/>
    <w:rsid w:val="001A21BB"/>
    <w:rsid w:val="001B0AD1"/>
    <w:rsid w:val="001D75DA"/>
    <w:rsid w:val="00212FBE"/>
    <w:rsid w:val="00214573"/>
    <w:rsid w:val="00263483"/>
    <w:rsid w:val="002A303D"/>
    <w:rsid w:val="002B0069"/>
    <w:rsid w:val="002B79EC"/>
    <w:rsid w:val="002D64D6"/>
    <w:rsid w:val="00316BF1"/>
    <w:rsid w:val="00342535"/>
    <w:rsid w:val="00370316"/>
    <w:rsid w:val="003F1B74"/>
    <w:rsid w:val="00400D30"/>
    <w:rsid w:val="00404C40"/>
    <w:rsid w:val="00422FE8"/>
    <w:rsid w:val="00431E72"/>
    <w:rsid w:val="004369BA"/>
    <w:rsid w:val="004628F9"/>
    <w:rsid w:val="004750DB"/>
    <w:rsid w:val="004A4AAF"/>
    <w:rsid w:val="004C4E91"/>
    <w:rsid w:val="004E7729"/>
    <w:rsid w:val="004F377D"/>
    <w:rsid w:val="005539AB"/>
    <w:rsid w:val="00557166"/>
    <w:rsid w:val="005A3F93"/>
    <w:rsid w:val="005A5233"/>
    <w:rsid w:val="005D3CE0"/>
    <w:rsid w:val="005F29AF"/>
    <w:rsid w:val="00612B97"/>
    <w:rsid w:val="00630013"/>
    <w:rsid w:val="00636CDC"/>
    <w:rsid w:val="00672728"/>
    <w:rsid w:val="00677C04"/>
    <w:rsid w:val="00682C72"/>
    <w:rsid w:val="006D13A3"/>
    <w:rsid w:val="00777CFC"/>
    <w:rsid w:val="00791677"/>
    <w:rsid w:val="00794D55"/>
    <w:rsid w:val="00810F32"/>
    <w:rsid w:val="00821E18"/>
    <w:rsid w:val="008B62C2"/>
    <w:rsid w:val="008C6DAD"/>
    <w:rsid w:val="008F6C60"/>
    <w:rsid w:val="00932ABF"/>
    <w:rsid w:val="00953F76"/>
    <w:rsid w:val="009B4B30"/>
    <w:rsid w:val="009C2A5F"/>
    <w:rsid w:val="009D454B"/>
    <w:rsid w:val="009E55A5"/>
    <w:rsid w:val="00A1795D"/>
    <w:rsid w:val="00A2289D"/>
    <w:rsid w:val="00A648C8"/>
    <w:rsid w:val="00AB56CB"/>
    <w:rsid w:val="00AC32A8"/>
    <w:rsid w:val="00AE7A04"/>
    <w:rsid w:val="00AF0ADF"/>
    <w:rsid w:val="00AF1CC3"/>
    <w:rsid w:val="00B01658"/>
    <w:rsid w:val="00B12757"/>
    <w:rsid w:val="00B2504E"/>
    <w:rsid w:val="00B97B92"/>
    <w:rsid w:val="00BA6F16"/>
    <w:rsid w:val="00BC771F"/>
    <w:rsid w:val="00C21095"/>
    <w:rsid w:val="00C5225A"/>
    <w:rsid w:val="00CA7B9D"/>
    <w:rsid w:val="00CD56B4"/>
    <w:rsid w:val="00D062CB"/>
    <w:rsid w:val="00D172E3"/>
    <w:rsid w:val="00D50E93"/>
    <w:rsid w:val="00D74318"/>
    <w:rsid w:val="00D82AE5"/>
    <w:rsid w:val="00D96FBE"/>
    <w:rsid w:val="00DD35A8"/>
    <w:rsid w:val="00E10D04"/>
    <w:rsid w:val="00E16D16"/>
    <w:rsid w:val="00E1718E"/>
    <w:rsid w:val="00E1745B"/>
    <w:rsid w:val="00E242D6"/>
    <w:rsid w:val="00E4292C"/>
    <w:rsid w:val="00E5102E"/>
    <w:rsid w:val="00E70E76"/>
    <w:rsid w:val="00E77722"/>
    <w:rsid w:val="00F305CB"/>
    <w:rsid w:val="00F45A55"/>
    <w:rsid w:val="00FA31EE"/>
    <w:rsid w:val="00FA58DE"/>
    <w:rsid w:val="00FD6A39"/>
    <w:rsid w:val="00FE002C"/>
    <w:rsid w:val="00FF18E1"/>
    <w:rsid w:val="6B91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ta-padang.go.id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admin@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B7DB31-7977-477F-B26F-4E753DFF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25</cp:revision>
  <cp:lastPrinted>2021-11-22T09:09:00Z</cp:lastPrinted>
  <dcterms:created xsi:type="dcterms:W3CDTF">2019-05-09T01:35:00Z</dcterms:created>
  <dcterms:modified xsi:type="dcterms:W3CDTF">2021-11-22T09:10:00Z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