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>/I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X</w:t>
      </w:r>
      <w:r>
        <w:rPr>
          <w:rFonts w:ascii="Bookman Old Style" w:hAnsi="Bookman Old Style" w:cs="Calibri"/>
          <w:sz w:val="20"/>
          <w:szCs w:val="20"/>
        </w:rPr>
        <w:t>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>11 November</w:t>
      </w:r>
      <w:r>
        <w:rPr>
          <w:rFonts w:ascii="Bookman Old Style" w:hAnsi="Bookman Old Style" w:cs="Calibri"/>
          <w:sz w:val="20"/>
          <w:szCs w:val="20"/>
        </w:rPr>
        <w:t xml:space="preserve"> 2022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>Usulan Revisi POK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 xml:space="preserve"> ke 4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4</w:t>
      </w:r>
      <w:r>
        <w:rPr>
          <w:rFonts w:ascii="Bookman Old Style" w:hAnsi="Bookman Old Style" w:cs="Calibri"/>
          <w:b/>
          <w:sz w:val="20"/>
          <w:szCs w:val="20"/>
        </w:rPr>
        <w:t>.40190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1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Kuasa Pengguna Anggaran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Pengadilan Tinggi Agama Padang</w:t>
      </w:r>
      <w:bookmarkStart w:id="0" w:name="_GoBack"/>
      <w:bookmarkEnd w:id="0"/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Peraturan Menteri Keuangan Nomor 199/PMK.02/2021 tentang Tata Cara Revisi Anggaran;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DIPA Petikan Satuan Kerja Pengadilan Tinggi Agama Padang Nomor SP DIPA-005.0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4</w:t>
      </w:r>
      <w:r>
        <w:rPr>
          <w:rFonts w:ascii="Bookman Old Style" w:hAnsi="Bookman Old Style" w:cs="Calibri"/>
          <w:sz w:val="20"/>
          <w:szCs w:val="20"/>
        </w:rPr>
        <w:t>.2.40190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>/2022 tanggal 17 November 2021 kode digital stamp DS: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3027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8658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0102</w:t>
      </w:r>
      <w:r>
        <w:rPr>
          <w:rFonts w:ascii="Bookman Old Style" w:hAnsi="Bookman Old Style" w:cs="Calibri"/>
          <w:sz w:val="20"/>
          <w:szCs w:val="20"/>
        </w:rPr>
        <w:t>-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0805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perlunya revisi  POK: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yang menyebabkan dilakukan Revisi Anggaran adalah dari sisi perubahan kebijakan;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Kategori Revisi adalah pergeseran rincian anggaran dalam hal pagu anggaran tetap.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Jenis revisi adalah pergeseran dalam 1 (satu) keluaran, 1 (satu) Kegiatan dan 1 (satu) satker dalam rangka memenuhi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Peningkatan Manajemen Peradilan Agama</w:t>
      </w:r>
      <w:r>
        <w:rPr>
          <w:rFonts w:ascii="Bookman Old Style" w:hAnsi="Bookman Old Style" w:cs="Calibri"/>
          <w:sz w:val="20"/>
          <w:szCs w:val="20"/>
        </w:rPr>
        <w:t>.</w:t>
      </w:r>
    </w:p>
    <w:p>
      <w:pPr>
        <w:pStyle w:val="7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Setelah dilakukan analisa bahwa pada DIPA Petikan Pengadilan Tinggi Agama Padang tidak berubah maka kewenangannya adalah pada Kuasa Pengguna Anggaran.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Sebagai bahan pertimbangan berupa :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Hardcopy RKA-K/L Awal Pengadilan Tinggi Agama Padang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Hardcopy RKA-K/L Revisi Pengadilan Tinggi Agama Padang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Matrik Perubahan (Semula-Menjadi)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>Pejabat Pembuat Komitmen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>
      <w:pPr>
        <w:pStyle w:val="7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>197302242003121002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 w:tentative="0">
      <w:start w:val="1"/>
      <w:numFmt w:val="bullet"/>
      <w:lvlText w:val=""/>
      <w:lvlJc w:val="left"/>
      <w:pPr>
        <w:ind w:left="269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1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3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5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7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9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1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3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59" w:hanging="360"/>
      </w:pPr>
      <w:rPr>
        <w:rFonts w:hint="default" w:ascii="Wingdings" w:hAnsi="Wingdings"/>
      </w:rPr>
    </w:lvl>
  </w:abstractNum>
  <w:abstractNum w:abstractNumId="2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6436A"/>
    <w:rsid w:val="00E951A5"/>
    <w:rsid w:val="00E95FB6"/>
    <w:rsid w:val="00EE044F"/>
    <w:rsid w:val="00F06C54"/>
    <w:rsid w:val="00F66869"/>
    <w:rsid w:val="00FE5141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2"/>
    <w:uiPriority w:val="0"/>
    <w:rPr>
      <w:rFonts w:hint="default" w:ascii="Helvetica" w:hAnsi="Helvetica" w:cs="Helvetica"/>
      <w:color w:val="000000"/>
      <w:sz w:val="12"/>
      <w:szCs w:val="12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1189</Characters>
  <Lines>9</Lines>
  <Paragraphs>2</Paragraphs>
  <TotalTime>83</TotalTime>
  <ScaleCrop>false</ScaleCrop>
  <LinksUpToDate>false</LinksUpToDate>
  <CharactersWithSpaces>1395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2021-04-12T09:35:00Z</dcterms:created>
  <dc:creator>simak</dc:creator>
  <cp:lastModifiedBy>user</cp:lastModifiedBy>
  <cp:lastPrinted>2022-09-22T02:30:00Z</cp:lastPrinted>
  <dcterms:modified xsi:type="dcterms:W3CDTF">2022-11-11T11:19:08Z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