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sz w:val="2"/>
        </w:rPr>
        <w:id w:val="529227712"/>
        <w:docPartObj>
          <w:docPartGallery w:val="AutoText"/>
        </w:docPartObj>
      </w:sdtPr>
      <w:sdtEndPr>
        <w:rPr>
          <w:b/>
          <w:sz w:val="28"/>
          <w:szCs w:val="28"/>
          <w:u w:val="single"/>
        </w:rPr>
      </w:sdtEndPr>
      <w:sdtContent>
        <w:p>
          <w:pPr>
            <w:pStyle w:val="17"/>
            <w:rPr>
              <w:sz w:val="2"/>
            </w:rPr>
          </w:pPr>
          <w:r>
            <w:pict>
              <v:shape id="Text Box 62" o:spid="_x0000_s1110" o:spt="202" type="#_x0000_t202" style="position:absolute;left:0pt;height:674.85pt;width:468.2pt;mso-position-horizontal:center;mso-position-horizontal-relative:page;mso-position-vertical:top;mso-position-vertical-relative:margin;z-index:251661312;mso-width-relative:page;mso-height-relative:page;mso-width-percent:765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stfQIAAGs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sdt>
                      <w:sdtPr>
                        <w:rPr>
                          <w:rFonts w:asciiTheme="majorHAnsi" w:hAnsiTheme="majorHAnsi" w:eastAsiaTheme="majorEastAsia" w:cstheme="majorBidi"/>
                          <w:caps/>
                          <w:color w:val="548DD4" w:themeColor="text2" w:themeTint="99"/>
                          <w:sz w:val="64"/>
                          <w:szCs w:val="64"/>
                        </w:rPr>
                        <w:alias w:val="Title"/>
                        <w:id w:val="797192764"/>
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Fonts w:asciiTheme="majorHAnsi" w:hAnsiTheme="majorHAnsi" w:eastAsiaTheme="majorEastAsia" w:cstheme="majorBidi"/>
                          <w:caps/>
                          <w:color w:val="548DD4" w:themeColor="text2" w:themeTint="99"/>
                          <w:sz w:val="44"/>
                          <w:szCs w:val="44"/>
                        </w:rPr>
                      </w:sdtEndPr>
                      <w:sdtContent>
                        <w:p>
                          <w:pPr>
                            <w:pStyle w:val="17"/>
                            <w:rPr>
                              <w:rFonts w:asciiTheme="majorHAnsi" w:hAnsiTheme="majorHAnsi" w:eastAsiaTheme="majorEastAsia" w:cstheme="majorBidi"/>
                              <w:caps/>
                              <w:color w:val="548DD4" w:themeColor="text2" w:themeTint="99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hint="default" w:asciiTheme="majorHAnsi" w:hAnsiTheme="majorHAnsi" w:eastAsiaTheme="majorEastAsia" w:cstheme="majorBidi"/>
                              <w:caps/>
                              <w:color w:val="548DD4" w:themeColor="text2" w:themeTint="99"/>
                              <w:sz w:val="44"/>
                              <w:szCs w:val="44"/>
                              <w:lang w:val="en-US"/>
                            </w:rPr>
                            <w:t>REVIU Rencana KINERJA TAHUNAN</w:t>
                          </w:r>
                        </w:p>
                      </w:sdtContent>
                    </w:sdt>
                    <w:p>
                      <w:pPr>
                        <w:spacing w:line="240" w:lineRule="auto"/>
                        <w:rPr>
                          <w:rFonts w:hint="default" w:asciiTheme="majorHAnsi" w:hAnsiTheme="majorHAnsi" w:cstheme="minorHAnsi"/>
                          <w:color w:val="4F81BD" w:themeColor="accent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Theme="majorHAnsi" w:hAnsiTheme="majorHAnsi" w:cstheme="minorHAnsi"/>
                          <w:color w:val="4F81BD" w:themeColor="accent1"/>
                          <w:sz w:val="44"/>
                          <w:szCs w:val="44"/>
                        </w:rPr>
                        <w:t>TAHUN 202</w:t>
                      </w:r>
                      <w:r>
                        <w:rPr>
                          <w:rFonts w:hint="default" w:asciiTheme="majorHAnsi" w:hAnsiTheme="majorHAnsi" w:cstheme="minorHAnsi"/>
                          <w:color w:val="4F81BD" w:themeColor="accent1"/>
                          <w:sz w:val="44"/>
                          <w:szCs w:val="44"/>
                          <w:lang w:val="en-US"/>
                        </w:rPr>
                        <w:t>2</w:t>
                      </w:r>
                    </w:p>
                    <w:p>
                      <w:pPr>
                        <w:spacing w:line="240" w:lineRule="auto"/>
                        <w:rPr>
                          <w:rFonts w:asciiTheme="majorHAnsi" w:hAnsiTheme="majorHAnsi"/>
                          <w:color w:val="4F81BD" w:themeColor="accent1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color w:val="4F81BD" w:themeColor="accent1"/>
                          <w:sz w:val="52"/>
                          <w:szCs w:val="52"/>
                        </w:rPr>
                        <w:t>Pengadilan Tinggi Agama Padang</w:t>
                      </w:r>
                    </w:p>
                    <w:p>
                      <w:pPr>
                        <w:spacing w:line="240" w:lineRule="auto"/>
                        <w:rPr>
                          <w:rFonts w:asciiTheme="majorHAnsi" w:hAnsiTheme="majorHAnsi"/>
                          <w:color w:val="4F81BD" w:themeColor="accent1"/>
                          <w:sz w:val="52"/>
                          <w:szCs w:val="52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asciiTheme="majorHAnsi" w:hAnsiTheme="majorHAnsi"/>
                          <w:color w:val="4F81BD" w:themeColor="accent1"/>
                          <w:sz w:val="52"/>
                          <w:szCs w:val="52"/>
                        </w:rPr>
                      </w:pPr>
                    </w:p>
                    <w:p>
                      <w:pPr>
                        <w:pStyle w:val="9"/>
                        <w:ind w:left="1134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38"/>
                        </w:rPr>
                        <w:drawing>
                          <wp:inline distT="0" distB="0" distL="0" distR="0">
                            <wp:extent cx="3010535" cy="34397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8112" cy="3528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9"/>
                        <w:ind w:left="1134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40" w:lineRule="auto"/>
                        <w:contextualSpacing/>
                        <w:rPr>
                          <w:bCs/>
                          <w:iCs/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w:r>
        </w:p>
        <w:p>
          <w:r>
            <w:pict>
              <v:group id="Group 2" o:spid="_x0000_s1104" o:spt="203" style="position:absolute;left:0pt;margin-left:134.6pt;margin-top:280.8pt;height:448.55pt;width:432.65pt;mso-position-horizontal-relative:page;mso-position-vertical-relative:page;z-index:-251656192;mso-width-relative:page;mso-height-relative:page;mso-width-percent:706;mso-height-percent:566;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<o:lock v:ext="edit" aspectratio="t"/>
                <v:shape id="Freeform 64" o:spid="_x0000_s1105" style="position:absolute;left:15017;top:0;height:28352;width:28274;" filled="f" stroked="f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0,1782,1776,0,1781,5,4,1786xe">
                  <v:path arrowok="t" o:connecttype="custom" o:connectlocs="6350,2835275;0,2828925;2819400,0;2827338,7938;6350,2835275" o:connectangles="0,0,0,0,0"/>
                  <v:fill on="f" focussize="0,0"/>
                  <v:stroke on="f"/>
                  <v:imagedata o:title=""/>
                  <o:lock v:ext="edit"/>
                </v:shape>
                <v:shape id="Freeform 65" o:spid="_x0000_s1106" style="position:absolute;left:7826;top:2270;height:35464;width:35465;" filled="f" stroked="f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0,2229,2229,0,2234,5,5,2234xe">
                  <v:path arrowok="t" o:connecttype="custom" o:connectlocs="7938,3546475;0,3538538;3538538,0;3546475,7938;7938,3546475" o:connectangles="0,0,0,0,0"/>
                  <v:fill on="f" focussize="0,0"/>
                  <v:stroke on="f"/>
                  <v:imagedata o:title=""/>
                  <o:lock v:ext="edit"/>
                </v:shape>
                <v:shape id="Freeform 66" o:spid="_x0000_s1107" style="position:absolute;left:8413;top:1095;height:34877;width:34878;" filled="f" stroked="f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0,2193,2188,0,2197,10,9,2197xe">
                  <v:path arrowok="t" o:connecttype="custom" o:connectlocs="14288,3487738;0,3481388;3473450,0;3487738,15875;14288,3487738" o:connectangles="0,0,0,0,0"/>
                  <v:fill on="f" focussize="0,0"/>
                  <v:stroke on="f"/>
                  <v:imagedata o:title=""/>
                  <o:lock v:ext="edit"/>
                </v:shape>
                <v:shape id="Freeform 67" o:spid="_x0000_s1108" style="position:absolute;left:12160;top:4984;height:31211;width:31131;" filled="f" stroked="f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0,1957,1952,0,1961,9,9,1966xe">
                  <v:path arrowok="t" o:connecttype="custom" o:connectlocs="14288,3121025;0,3106738;3098800,0;3113088,14288;14288,3121025" o:connectangles="0,0,0,0,0"/>
                  <v:fill on="f" focussize="0,0"/>
                  <v:stroke on="f"/>
                  <v:imagedata o:title=""/>
                  <o:lock v:ext="edit"/>
                </v:shape>
                <v:shape id="Freeform 68" o:spid="_x0000_s1109" style="position:absolute;left:0;top:1539;height:43371;width:43291;" filled="f" stroked="f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0,2732l0,2728,2722,0,2727,5,0,2732xe">
                  <v:path arrowok="t" o:connecttype="custom" o:connectlocs="0,4337050;0,4330700;4321175,0;4329113,7938;0,4337050" o:connectangles="0,0,0,0,0"/>
                  <v:fill on="f" focussize="0,0"/>
                  <v:stroke on="f"/>
                  <v:imagedata o:title=""/>
                  <o:lock v:ext="edit"/>
                </v:shape>
              </v:group>
            </w:pict>
          </w:r>
        </w:p>
        <w:p>
          <w:pPr>
            <w:rPr>
              <w:b/>
              <w:sz w:val="28"/>
              <w:szCs w:val="28"/>
              <w:u w:val="single"/>
            </w:rPr>
          </w:pPr>
          <w:r>
            <w:pict>
              <v:shape id="Text Box 69" o:spid="_x0000_s1103" o:spt="202" type="#_x0000_t202" style="position:absolute;left:0pt;height:145.75pt;width:468.2pt;mso-position-horizontal:center;mso-position-horizontal-relative:page;mso-position-vertical:bottom;mso-position-vertical-relative:margin;z-index:251659264;v-text-anchor:bottom;mso-width-relative:page;mso-height-relative:margin;mso-width-percent:765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RsdAIAAFQ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">
                <v:path/>
                <v:fill on="f" focussize="0,0"/>
                <v:stroke on="f" weight="0.5pt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17"/>
                        <w:jc w:val="right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color w:val="4F81BD" w:themeColor="accent1"/>
                          <w:sz w:val="36"/>
                          <w:szCs w:val="36"/>
                        </w:rPr>
                        <w:t>Pengadilan Tinggi Agama Padang</w:t>
                      </w:r>
                    </w:p>
                    <w:p>
                      <w:pPr>
                        <w:pStyle w:val="17"/>
                        <w:jc w:val="right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color w:val="4F81BD" w:themeColor="accent1"/>
                          <w:sz w:val="36"/>
                          <w:szCs w:val="36"/>
                        </w:rPr>
                        <w:t xml:space="preserve">Jl. By Pass Km 24 Anak Air  Padang </w:t>
                      </w:r>
                    </w:p>
                    <w:p>
                      <w:pPr>
                        <w:pStyle w:val="17"/>
                        <w:jc w:val="right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color w:val="4F81BD" w:themeColor="accent1"/>
                          <w:sz w:val="36"/>
                          <w:szCs w:val="36"/>
                        </w:rPr>
                        <w:t>Telp. 0751-7054806  Fax. 0751-40537</w:t>
                      </w:r>
                    </w:p>
                    <w:p>
                      <w:pPr>
                        <w:pStyle w:val="17"/>
                        <w:jc w:val="right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color w:val="4F81BD" w:themeColor="accent1"/>
                          <w:sz w:val="36"/>
                          <w:szCs w:val="36"/>
                        </w:rPr>
                        <w:t>Padang  - Sumatera Barat  25179</w:t>
                      </w:r>
                    </w:p>
                    <w:p>
                      <w:pPr>
                        <w:pStyle w:val="17"/>
                        <w:jc w:val="right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color w:val="4F81BD" w:themeColor="accent1"/>
                          <w:sz w:val="36"/>
                          <w:szCs w:val="36"/>
                        </w:rPr>
                        <w:t>e-mail : admin@pta-padang.go.id</w:t>
                      </w:r>
                    </w:p>
                    <w:p>
                      <w:pPr>
                        <w:pStyle w:val="17"/>
                        <w:jc w:val="right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b/>
              <w:sz w:val="28"/>
              <w:szCs w:val="28"/>
              <w:u w:val="single"/>
            </w:rPr>
            <w:br w:type="page"/>
          </w:r>
        </w:p>
      </w:sdtContent>
    </w:sdt>
    <w:p>
      <w:pPr>
        <w:spacing w:line="240" w:lineRule="auto"/>
        <w:contextualSpacing/>
        <w:jc w:val="center"/>
        <w:rPr>
          <w:rFonts w:hint="default"/>
          <w:b/>
          <w:sz w:val="32"/>
          <w:szCs w:val="32"/>
          <w:lang w:val="en-US"/>
        </w:rPr>
      </w:pPr>
      <w:r>
        <w:rPr>
          <w:rFonts w:hint="default"/>
          <w:b/>
          <w:sz w:val="32"/>
          <w:szCs w:val="32"/>
          <w:lang w:val="en-US"/>
        </w:rPr>
        <w:t xml:space="preserve">REVISI </w:t>
      </w:r>
      <w:r>
        <w:rPr>
          <w:b/>
          <w:sz w:val="32"/>
          <w:szCs w:val="32"/>
        </w:rPr>
        <w:t>RENCANA KINERJA TAHUN ANGGARAN 202</w:t>
      </w:r>
      <w:r>
        <w:rPr>
          <w:rFonts w:hint="default"/>
          <w:b/>
          <w:sz w:val="32"/>
          <w:szCs w:val="32"/>
          <w:lang w:val="en-US"/>
        </w:rPr>
        <w:t>2</w:t>
      </w:r>
    </w:p>
    <w:p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NO.</w:t>
      </w:r>
      <w:r>
        <w:rPr>
          <w:rFonts w:hint="default"/>
          <w:b/>
          <w:sz w:val="32"/>
          <w:szCs w:val="32"/>
          <w:lang w:val="en-US"/>
        </w:rPr>
        <w:t>W3-A</w:t>
      </w:r>
      <w:r>
        <w:rPr>
          <w:b/>
          <w:sz w:val="32"/>
          <w:szCs w:val="32"/>
        </w:rPr>
        <w:t xml:space="preserve"> /</w:t>
      </w:r>
      <w:r>
        <w:rPr>
          <w:rFonts w:hint="default"/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     /OT.01.1/I/2021</w:t>
      </w:r>
    </w:p>
    <w:p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Pengadilan Tinggi Agama Padang</w:t>
      </w:r>
    </w:p>
    <w:p>
      <w:pPr>
        <w:spacing w:line="240" w:lineRule="auto"/>
        <w:contextualSpacing/>
        <w:jc w:val="center"/>
        <w:rPr>
          <w:b/>
          <w:sz w:val="32"/>
          <w:szCs w:val="32"/>
        </w:rPr>
      </w:pPr>
    </w:p>
    <w:tbl>
      <w:tblPr>
        <w:tblStyle w:val="16"/>
        <w:tblW w:w="49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3475"/>
        <w:gridCol w:w="4396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18" w:type="pct"/>
            <w:tcBorders>
              <w:bottom w:val="single" w:color="666666" w:themeColor="text1" w:themeTint="99" w:sz="12" w:space="0"/>
              <w:insideH w:val="single" w:sz="12" w:space="0"/>
            </w:tcBorders>
            <w:shd w:val="clear" w:color="auto" w:fill="D8D8D8" w:themeFill="background1" w:themeFillShade="D9"/>
          </w:tcPr>
          <w:p>
            <w:pPr>
              <w:pStyle w:val="5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840" w:type="pct"/>
            <w:tcBorders>
              <w:bottom w:val="single" w:color="666666" w:themeColor="text1" w:themeTint="99" w:sz="12" w:space="0"/>
              <w:insideH w:val="single" w:sz="12" w:space="0"/>
            </w:tcBorders>
            <w:shd w:val="clear" w:color="auto" w:fill="D8D8D8" w:themeFill="background1" w:themeFillShade="D9"/>
          </w:tcPr>
          <w:p>
            <w:pPr>
              <w:pStyle w:val="5"/>
              <w:tabs>
                <w:tab w:val="center" w:pos="90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Sasaran Strategis</w:t>
            </w:r>
          </w:p>
        </w:tc>
        <w:tc>
          <w:tcPr>
            <w:tcW w:w="2327" w:type="pct"/>
            <w:tcBorders>
              <w:bottom w:val="single" w:color="666666" w:themeColor="text1" w:themeTint="99" w:sz="12" w:space="0"/>
              <w:insideH w:val="single" w:sz="12" w:space="0"/>
            </w:tcBorders>
            <w:shd w:val="clear" w:color="auto" w:fill="D8D8D8" w:themeFill="background1" w:themeFillShade="D9"/>
          </w:tcPr>
          <w:p>
            <w:pPr>
              <w:pStyle w:val="5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Indikator Kinerja</w:t>
            </w:r>
          </w:p>
        </w:tc>
        <w:tc>
          <w:tcPr>
            <w:tcW w:w="513" w:type="pct"/>
            <w:tcBorders>
              <w:bottom w:val="single" w:color="666666" w:themeColor="text1" w:themeTint="99" w:sz="12" w:space="0"/>
              <w:insideH w:val="single" w:sz="12" w:space="0"/>
            </w:tcBorders>
            <w:shd w:val="clear" w:color="auto" w:fill="D8D8D8" w:themeFill="background1" w:themeFillShade="D9"/>
          </w:tcPr>
          <w:p>
            <w:pPr>
              <w:pStyle w:val="5"/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Target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18" w:type="pct"/>
            <w:vMerge w:val="restart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left="360" w:leftChars="0" w:firstLineChars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  <w:p>
            <w:pPr>
              <w:pStyle w:val="5"/>
              <w:numPr>
                <w:numId w:val="0"/>
              </w:numPr>
              <w:spacing w:line="360" w:lineRule="auto"/>
              <w:ind w:leftChars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  <w:p>
            <w:pPr>
              <w:pStyle w:val="5"/>
              <w:numPr>
                <w:numId w:val="0"/>
              </w:numPr>
              <w:spacing w:line="360" w:lineRule="auto"/>
              <w:ind w:leftChars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pct"/>
            <w:vMerge w:val="restart"/>
          </w:tcPr>
          <w:p>
            <w:pPr>
              <w:pStyle w:val="5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Terwujudnya Proses Peradilan yang Pasti, Transparan dan Akuntabel</w:t>
            </w:r>
          </w:p>
        </w:tc>
        <w:tc>
          <w:tcPr>
            <w:tcW w:w="2327" w:type="pct"/>
          </w:tcPr>
          <w:p>
            <w:pPr>
              <w:pStyle w:val="5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Persentase Perkara  yang diselesaikan Tepat Waktu</w:t>
            </w:r>
          </w:p>
        </w:tc>
        <w:tc>
          <w:tcPr>
            <w:tcW w:w="513" w:type="pct"/>
          </w:tcPr>
          <w:p>
            <w:pPr>
              <w:pStyle w:val="5"/>
              <w:spacing w:line="360" w:lineRule="auto"/>
              <w:jc w:val="center"/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100</w:t>
            </w:r>
            <w:r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18" w:type="pct"/>
            <w:vMerge w:val="continue"/>
            <w:tcBorders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left="373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840" w:type="pct"/>
            <w:vMerge w:val="continue"/>
            <w:tcBorders/>
          </w:tcPr>
          <w:p>
            <w:pPr>
              <w:pStyle w:val="5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27" w:type="pct"/>
          </w:tcPr>
          <w:p>
            <w:pPr>
              <w:pStyle w:val="5"/>
              <w:spacing w:line="360" w:lineRule="auto"/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Persentase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Perkara Yang Tidak Mengajukan Upaya Hukum </w:t>
            </w:r>
            <w:r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Kasasi</w:t>
            </w:r>
            <w:r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  <w:t xml:space="preserve"> dan PK)</w:t>
            </w:r>
          </w:p>
        </w:tc>
        <w:tc>
          <w:tcPr>
            <w:tcW w:w="513" w:type="pct"/>
          </w:tcPr>
          <w:p>
            <w:pPr>
              <w:pStyle w:val="5"/>
              <w:spacing w:line="360" w:lineRule="auto"/>
              <w:jc w:val="center"/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  <w:r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  <w:t>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18" w:type="pct"/>
            <w:vMerge w:val="continue"/>
            <w:tcBorders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left="373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840" w:type="pct"/>
            <w:vMerge w:val="continue"/>
            <w:tcBorders/>
          </w:tcPr>
          <w:p>
            <w:pPr>
              <w:pStyle w:val="5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27" w:type="pct"/>
          </w:tcPr>
          <w:p>
            <w:pPr>
              <w:pStyle w:val="5"/>
              <w:spacing w:line="360" w:lineRule="auto"/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Index </w:t>
            </w:r>
            <w:r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responden Peradilan Tingkat Pertama yang Puas Terhadap Layanan </w:t>
            </w:r>
            <w:r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  <w:t>Pengadilan Tinggi Agama Padang</w:t>
            </w:r>
          </w:p>
        </w:tc>
        <w:tc>
          <w:tcPr>
            <w:tcW w:w="513" w:type="pct"/>
          </w:tcPr>
          <w:p>
            <w:pPr>
              <w:pStyle w:val="5"/>
              <w:spacing w:line="360" w:lineRule="auto"/>
              <w:jc w:val="center"/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  <w:r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  <w:t>9 %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18" w:type="pct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left="360" w:leftChars="0" w:firstLineChars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pct"/>
          </w:tcPr>
          <w:p>
            <w:pPr>
              <w:pStyle w:val="5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Peningkatan Efektivitas Pengelolaan Penyelesaian Perkara</w:t>
            </w:r>
          </w:p>
        </w:tc>
        <w:tc>
          <w:tcPr>
            <w:tcW w:w="2327" w:type="pct"/>
          </w:tcPr>
          <w:p>
            <w:pPr>
              <w:pStyle w:val="5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Persentase Salinan Putusan yang Dikirim ke Pengadilan Pengaju tepat waktu</w:t>
            </w:r>
          </w:p>
        </w:tc>
        <w:tc>
          <w:tcPr>
            <w:tcW w:w="513" w:type="pct"/>
          </w:tcPr>
          <w:p>
            <w:pPr>
              <w:pStyle w:val="5"/>
              <w:spacing w:line="360" w:lineRule="auto"/>
              <w:jc w:val="center"/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100</w:t>
            </w:r>
            <w:r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  <w:t xml:space="preserve"> %</w:t>
            </w:r>
          </w:p>
        </w:tc>
      </w:tr>
    </w:tbl>
    <w:p>
      <w:pPr>
        <w:pStyle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Padang, 7 Desember 2021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Ketua Pengadilan Tinggi Agama Padang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Drs. H. Zein Ahsan, MH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NIP. 195508261982031004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sectPr>
      <w:footerReference r:id="rId5" w:type="default"/>
      <w:pgSz w:w="12240" w:h="18720"/>
      <w:pgMar w:top="1440" w:right="1440" w:bottom="567" w:left="1440" w:header="709" w:footer="709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600562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DA4360"/>
    <w:multiLevelType w:val="multilevel"/>
    <w:tmpl w:val="01DA4360"/>
    <w:lvl w:ilvl="0" w:tentative="0">
      <w:start w:val="1"/>
      <w:numFmt w:val="decimal"/>
      <w:lvlText w:val="%1."/>
      <w:lvlJc w:val="left"/>
      <w:pPr>
        <w:ind w:left="707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1345E"/>
    <w:rsid w:val="00026064"/>
    <w:rsid w:val="00053827"/>
    <w:rsid w:val="0005518C"/>
    <w:rsid w:val="000603F5"/>
    <w:rsid w:val="00086C6A"/>
    <w:rsid w:val="00093F3A"/>
    <w:rsid w:val="000B0296"/>
    <w:rsid w:val="000B6760"/>
    <w:rsid w:val="000C03F8"/>
    <w:rsid w:val="000C56C8"/>
    <w:rsid w:val="000E0B54"/>
    <w:rsid w:val="000E29D7"/>
    <w:rsid w:val="00116D9F"/>
    <w:rsid w:val="00117466"/>
    <w:rsid w:val="001175BC"/>
    <w:rsid w:val="0012559C"/>
    <w:rsid w:val="001277F5"/>
    <w:rsid w:val="00141C0D"/>
    <w:rsid w:val="00196DBB"/>
    <w:rsid w:val="001A43A1"/>
    <w:rsid w:val="001B5A16"/>
    <w:rsid w:val="001D0B97"/>
    <w:rsid w:val="001F56D8"/>
    <w:rsid w:val="00224E2D"/>
    <w:rsid w:val="00235A29"/>
    <w:rsid w:val="00242CBB"/>
    <w:rsid w:val="00244220"/>
    <w:rsid w:val="0029379A"/>
    <w:rsid w:val="002964A9"/>
    <w:rsid w:val="002A5A41"/>
    <w:rsid w:val="002E5248"/>
    <w:rsid w:val="00314BCA"/>
    <w:rsid w:val="00324A04"/>
    <w:rsid w:val="00333019"/>
    <w:rsid w:val="00337250"/>
    <w:rsid w:val="0035420A"/>
    <w:rsid w:val="0037224A"/>
    <w:rsid w:val="0039328D"/>
    <w:rsid w:val="003B319D"/>
    <w:rsid w:val="00415747"/>
    <w:rsid w:val="004507C2"/>
    <w:rsid w:val="00454959"/>
    <w:rsid w:val="00464B7B"/>
    <w:rsid w:val="004723D9"/>
    <w:rsid w:val="00483AC0"/>
    <w:rsid w:val="004971A3"/>
    <w:rsid w:val="004A01FA"/>
    <w:rsid w:val="004B2B32"/>
    <w:rsid w:val="004B39B5"/>
    <w:rsid w:val="004B588D"/>
    <w:rsid w:val="004C10AF"/>
    <w:rsid w:val="004E56E1"/>
    <w:rsid w:val="00502D9F"/>
    <w:rsid w:val="00534690"/>
    <w:rsid w:val="005477E3"/>
    <w:rsid w:val="00547CDD"/>
    <w:rsid w:val="005527D9"/>
    <w:rsid w:val="00557611"/>
    <w:rsid w:val="005803C9"/>
    <w:rsid w:val="005902A1"/>
    <w:rsid w:val="005C11A5"/>
    <w:rsid w:val="005D5E06"/>
    <w:rsid w:val="005D6FB8"/>
    <w:rsid w:val="005F5DBB"/>
    <w:rsid w:val="0060288D"/>
    <w:rsid w:val="00616A85"/>
    <w:rsid w:val="00642C10"/>
    <w:rsid w:val="00647876"/>
    <w:rsid w:val="00654266"/>
    <w:rsid w:val="00657DD0"/>
    <w:rsid w:val="0066430B"/>
    <w:rsid w:val="00681900"/>
    <w:rsid w:val="006963AE"/>
    <w:rsid w:val="006A145D"/>
    <w:rsid w:val="006A1ACD"/>
    <w:rsid w:val="006D7BDC"/>
    <w:rsid w:val="007001EE"/>
    <w:rsid w:val="00701073"/>
    <w:rsid w:val="0070411B"/>
    <w:rsid w:val="007262E3"/>
    <w:rsid w:val="007662B1"/>
    <w:rsid w:val="00770369"/>
    <w:rsid w:val="00780798"/>
    <w:rsid w:val="00782844"/>
    <w:rsid w:val="0079116F"/>
    <w:rsid w:val="007B0B11"/>
    <w:rsid w:val="007B1752"/>
    <w:rsid w:val="007B55EE"/>
    <w:rsid w:val="007B6FB5"/>
    <w:rsid w:val="007D08BC"/>
    <w:rsid w:val="007D65E6"/>
    <w:rsid w:val="008131A7"/>
    <w:rsid w:val="008241F2"/>
    <w:rsid w:val="00826E32"/>
    <w:rsid w:val="0083001A"/>
    <w:rsid w:val="00842A95"/>
    <w:rsid w:val="008473C8"/>
    <w:rsid w:val="00876C58"/>
    <w:rsid w:val="00895633"/>
    <w:rsid w:val="00897BDC"/>
    <w:rsid w:val="008A1D93"/>
    <w:rsid w:val="008A4037"/>
    <w:rsid w:val="008E0CBB"/>
    <w:rsid w:val="008F21C7"/>
    <w:rsid w:val="008F64E7"/>
    <w:rsid w:val="009001BB"/>
    <w:rsid w:val="0091345E"/>
    <w:rsid w:val="00934A32"/>
    <w:rsid w:val="00945534"/>
    <w:rsid w:val="00954D47"/>
    <w:rsid w:val="0096256B"/>
    <w:rsid w:val="00963C82"/>
    <w:rsid w:val="00964FAE"/>
    <w:rsid w:val="00983017"/>
    <w:rsid w:val="00991482"/>
    <w:rsid w:val="009972F9"/>
    <w:rsid w:val="009B5DF4"/>
    <w:rsid w:val="009C20F3"/>
    <w:rsid w:val="009C589A"/>
    <w:rsid w:val="009C748E"/>
    <w:rsid w:val="009D0E62"/>
    <w:rsid w:val="009F0E5D"/>
    <w:rsid w:val="009F5307"/>
    <w:rsid w:val="00A020F9"/>
    <w:rsid w:val="00A34B7F"/>
    <w:rsid w:val="00A4050D"/>
    <w:rsid w:val="00A51C1C"/>
    <w:rsid w:val="00AA61BE"/>
    <w:rsid w:val="00AD6488"/>
    <w:rsid w:val="00AE41AD"/>
    <w:rsid w:val="00B02C99"/>
    <w:rsid w:val="00B04F2C"/>
    <w:rsid w:val="00B437FB"/>
    <w:rsid w:val="00B61CD9"/>
    <w:rsid w:val="00B70ECC"/>
    <w:rsid w:val="00BB4885"/>
    <w:rsid w:val="00BF7CA8"/>
    <w:rsid w:val="00C00367"/>
    <w:rsid w:val="00C32965"/>
    <w:rsid w:val="00C53494"/>
    <w:rsid w:val="00C74F01"/>
    <w:rsid w:val="00C75302"/>
    <w:rsid w:val="00C75F1B"/>
    <w:rsid w:val="00C77795"/>
    <w:rsid w:val="00CA045B"/>
    <w:rsid w:val="00CB10A0"/>
    <w:rsid w:val="00CB3384"/>
    <w:rsid w:val="00CB5573"/>
    <w:rsid w:val="00CC202D"/>
    <w:rsid w:val="00CE7BB5"/>
    <w:rsid w:val="00D2042C"/>
    <w:rsid w:val="00D3045F"/>
    <w:rsid w:val="00D33574"/>
    <w:rsid w:val="00D454E9"/>
    <w:rsid w:val="00D95570"/>
    <w:rsid w:val="00D96F2E"/>
    <w:rsid w:val="00DA5780"/>
    <w:rsid w:val="00DB6031"/>
    <w:rsid w:val="00DE57DF"/>
    <w:rsid w:val="00DE6BDE"/>
    <w:rsid w:val="00DE6C4D"/>
    <w:rsid w:val="00DF0AE4"/>
    <w:rsid w:val="00E031FB"/>
    <w:rsid w:val="00E03F3F"/>
    <w:rsid w:val="00E0495A"/>
    <w:rsid w:val="00E1760B"/>
    <w:rsid w:val="00E2407A"/>
    <w:rsid w:val="00E623EF"/>
    <w:rsid w:val="00EB57FB"/>
    <w:rsid w:val="00EB777C"/>
    <w:rsid w:val="00EE129B"/>
    <w:rsid w:val="00F13F22"/>
    <w:rsid w:val="00F14BFF"/>
    <w:rsid w:val="00F17F47"/>
    <w:rsid w:val="00F22A76"/>
    <w:rsid w:val="00F27391"/>
    <w:rsid w:val="00F34B1A"/>
    <w:rsid w:val="00F4404C"/>
    <w:rsid w:val="00FA2022"/>
    <w:rsid w:val="00FB1673"/>
    <w:rsid w:val="00FC0C77"/>
    <w:rsid w:val="00FD135B"/>
    <w:rsid w:val="00FD33B6"/>
    <w:rsid w:val="0A3D5121"/>
    <w:rsid w:val="4983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d-ID" w:eastAsia="id-ID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 3"/>
    <w:basedOn w:val="1"/>
    <w:link w:val="15"/>
    <w:qFormat/>
    <w:uiPriority w:val="0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paragraph" w:styleId="6">
    <w:name w:val="foot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">
    <w:name w:val="Title"/>
    <w:basedOn w:val="1"/>
    <w:link w:val="13"/>
    <w:qFormat/>
    <w:uiPriority w:val="0"/>
    <w:pPr>
      <w:spacing w:after="0" w:line="240" w:lineRule="auto"/>
      <w:jc w:val="center"/>
    </w:pPr>
    <w:rPr>
      <w:rFonts w:ascii="Arial Narrow" w:hAnsi="Arial Narrow" w:eastAsia="Times New Roman" w:cs="Times New Roman"/>
      <w:color w:val="0000FF"/>
      <w:sz w:val="36"/>
      <w:szCs w:val="36"/>
      <w:lang w:val="en-US" w:eastAsia="en-US"/>
    </w:rPr>
  </w:style>
  <w:style w:type="character" w:customStyle="1" w:styleId="10">
    <w:name w:val="Header Char"/>
    <w:basedOn w:val="2"/>
    <w:link w:val="7"/>
    <w:uiPriority w:val="99"/>
  </w:style>
  <w:style w:type="character" w:customStyle="1" w:styleId="11">
    <w:name w:val="Footer Char"/>
    <w:basedOn w:val="2"/>
    <w:link w:val="6"/>
    <w:qFormat/>
    <w:uiPriority w:val="99"/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Title Char"/>
    <w:basedOn w:val="2"/>
    <w:link w:val="9"/>
    <w:qFormat/>
    <w:uiPriority w:val="0"/>
    <w:rPr>
      <w:rFonts w:ascii="Arial Narrow" w:hAnsi="Arial Narrow" w:eastAsia="Times New Roman" w:cs="Times New Roman"/>
      <w:color w:val="0000FF"/>
      <w:sz w:val="36"/>
      <w:szCs w:val="36"/>
      <w:lang w:val="en-US" w:eastAsia="en-US"/>
    </w:rPr>
  </w:style>
  <w:style w:type="paragraph" w:styleId="14">
    <w:name w:val="List Paragraph"/>
    <w:basedOn w:val="1"/>
    <w:qFormat/>
    <w:uiPriority w:val="34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15">
    <w:name w:val="Body Text 3 Char"/>
    <w:basedOn w:val="2"/>
    <w:link w:val="5"/>
    <w:qFormat/>
    <w:uiPriority w:val="0"/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table" w:customStyle="1" w:styleId="16">
    <w:name w:val="Grid Table 1 Light"/>
    <w:basedOn w:val="3"/>
    <w:qFormat/>
    <w:uiPriority w:val="46"/>
    <w:pPr>
      <w:spacing w:after="0" w:line="240" w:lineRule="auto"/>
    </w:pPr>
    <w:rPr>
      <w:lang w:val="zh-CN" w:eastAsia="zh-CN"/>
    </w:r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17">
    <w:name w:val="No Spacing"/>
    <w:link w:val="18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8">
    <w:name w:val="No Spacing Char"/>
    <w:basedOn w:val="2"/>
    <w:link w:val="17"/>
    <w:qFormat/>
    <w:uiPriority w:val="1"/>
    <w:rPr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10"/>
    <customShpInfo spid="_x0000_s1105"/>
    <customShpInfo spid="_x0000_s1106"/>
    <customShpInfo spid="_x0000_s1107"/>
    <customShpInfo spid="_x0000_s1108"/>
    <customShpInfo spid="_x0000_s1109"/>
    <customShpInfo spid="_x0000_s1104"/>
    <customShpInfo spid="_x0000_s11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</Words>
  <Characters>203</Characters>
  <Lines>1</Lines>
  <Paragraphs>1</Paragraphs>
  <TotalTime>1</TotalTime>
  <ScaleCrop>false</ScaleCrop>
  <LinksUpToDate>false</LinksUpToDate>
  <CharactersWithSpaces>237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2012-04-08T15:07:00Z</dcterms:created>
  <dc:creator>Keuangan</dc:creator>
  <cp:lastModifiedBy>user</cp:lastModifiedBy>
  <dcterms:modified xsi:type="dcterms:W3CDTF">2022-02-23T07:29:24Z</dcterms:modified>
  <dc:subject>[satker.tahun]</dc:subject>
  <dc:title>REVIU Rencana KINERJA TAHUNAN</dc:title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F8777E26B3474775948F37C620A44B44</vt:lpwstr>
  </property>
</Properties>
</file>