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77C6" w14:textId="77777777" w:rsidR="00F72F32" w:rsidRDefault="00F72F32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1190E689" w14:textId="77777777" w:rsidR="00F72F32" w:rsidRDefault="00F72F32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7EE8D621" w14:textId="50CE74BF" w:rsidR="00F72F32" w:rsidRDefault="00F72F32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57489CBD">
            <wp:simplePos x="0" y="0"/>
            <wp:positionH relativeFrom="column">
              <wp:posOffset>3041650</wp:posOffset>
            </wp:positionH>
            <wp:positionV relativeFrom="paragraph">
              <wp:posOffset>121285</wp:posOffset>
            </wp:positionV>
            <wp:extent cx="628650" cy="793750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105F41" w14:textId="68E26876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77777777" w:rsidR="00A949C6" w:rsidRPr="00BE0064" w:rsidRDefault="00A949C6" w:rsidP="00A949C6">
      <w:pPr>
        <w:spacing w:line="288" w:lineRule="auto"/>
        <w:ind w:left="2160" w:firstLine="720"/>
        <w:rPr>
          <w:rFonts w:asciiTheme="majorHAnsi" w:hAnsiTheme="majorHAnsi" w:cs="Arial"/>
          <w:b/>
          <w:sz w:val="20"/>
          <w:szCs w:val="20"/>
          <w:lang w:val="id-ID"/>
        </w:rPr>
      </w:pPr>
      <w:r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2B8B3165" w:rsidR="00A949C6" w:rsidRPr="00F04EF2" w:rsidRDefault="00B00D82" w:rsidP="00A949C6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ko-KR"/>
        </w:rPr>
        <w:pict w14:anchorId="3402E96D">
          <v:line id="_x0000_s1026" style="position:absolute;left:0;text-align:left;z-index:251658240" from="135.45pt,-.25pt" to="419.75pt,-.25pt" strokeweight=".8pt"/>
        </w:pict>
      </w:r>
      <w:r w:rsidR="00A949C6"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60210A">
        <w:rPr>
          <w:rFonts w:asciiTheme="majorHAnsi" w:hAnsiTheme="majorHAnsi" w:cs="Arial"/>
          <w:sz w:val="20"/>
          <w:szCs w:val="20"/>
        </w:rPr>
        <w:t xml:space="preserve">   </w:t>
      </w:r>
      <w:r w:rsidR="00745C01">
        <w:rPr>
          <w:rFonts w:asciiTheme="majorHAnsi" w:hAnsiTheme="majorHAnsi" w:cs="Arial"/>
          <w:sz w:val="20"/>
          <w:szCs w:val="20"/>
        </w:rPr>
        <w:t xml:space="preserve">  </w:t>
      </w:r>
      <w:r w:rsidR="0060210A">
        <w:rPr>
          <w:rFonts w:asciiTheme="majorHAnsi" w:hAnsiTheme="majorHAnsi" w:cs="Arial"/>
          <w:sz w:val="20"/>
          <w:szCs w:val="20"/>
        </w:rPr>
        <w:t xml:space="preserve">    </w:t>
      </w:r>
      <w:r w:rsidR="00B40155">
        <w:rPr>
          <w:rFonts w:asciiTheme="majorHAnsi" w:hAnsiTheme="majorHAnsi" w:cs="Arial"/>
          <w:sz w:val="20"/>
          <w:szCs w:val="20"/>
        </w:rPr>
        <w:t xml:space="preserve"> </w:t>
      </w:r>
      <w:r w:rsidR="00A949C6">
        <w:rPr>
          <w:rFonts w:asciiTheme="majorHAnsi" w:hAnsiTheme="majorHAnsi" w:cs="Arial"/>
          <w:sz w:val="20"/>
          <w:szCs w:val="20"/>
          <w:lang w:val="id-ID"/>
        </w:rPr>
        <w:t>/PL</w:t>
      </w:r>
      <w:r w:rsidR="00C062FE">
        <w:rPr>
          <w:rFonts w:asciiTheme="majorHAnsi" w:hAnsiTheme="majorHAnsi" w:cs="Arial"/>
          <w:sz w:val="20"/>
          <w:szCs w:val="20"/>
        </w:rPr>
        <w:t>.06</w:t>
      </w:r>
      <w:r w:rsidR="00A949C6">
        <w:rPr>
          <w:rFonts w:asciiTheme="majorHAnsi" w:hAnsiTheme="majorHAnsi" w:cs="Arial"/>
          <w:sz w:val="20"/>
          <w:szCs w:val="20"/>
          <w:lang w:val="id-ID"/>
        </w:rPr>
        <w:t>/</w:t>
      </w:r>
      <w:r w:rsidR="0060210A">
        <w:rPr>
          <w:rFonts w:asciiTheme="majorHAnsi" w:hAnsiTheme="majorHAnsi" w:cs="Arial"/>
          <w:sz w:val="20"/>
          <w:szCs w:val="20"/>
          <w:lang w:val="en-ID"/>
        </w:rPr>
        <w:t>X</w:t>
      </w:r>
      <w:r>
        <w:rPr>
          <w:rFonts w:asciiTheme="majorHAnsi" w:hAnsiTheme="majorHAnsi" w:cs="Arial"/>
          <w:sz w:val="20"/>
          <w:szCs w:val="20"/>
          <w:lang w:val="en-ID"/>
        </w:rPr>
        <w:t>II</w:t>
      </w:r>
      <w:r w:rsidR="00A949C6">
        <w:rPr>
          <w:rFonts w:asciiTheme="majorHAnsi" w:hAnsiTheme="majorHAnsi" w:cs="Arial"/>
          <w:sz w:val="20"/>
          <w:szCs w:val="20"/>
          <w:lang w:val="id-ID"/>
        </w:rPr>
        <w:t>/20</w:t>
      </w:r>
      <w:r w:rsidR="00602C69">
        <w:rPr>
          <w:rFonts w:asciiTheme="majorHAnsi" w:hAnsiTheme="majorHAnsi" w:cs="Arial"/>
          <w:sz w:val="20"/>
          <w:szCs w:val="20"/>
        </w:rPr>
        <w:t>21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4AF4FD50" w14:textId="77777777" w:rsidR="00512A38" w:rsidRDefault="00C820F4" w:rsidP="00A949C6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>PEMBENTUKAN PANITIA PENJUALAN</w:t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="00512A38">
        <w:rPr>
          <w:rFonts w:ascii="Cambria" w:hAnsi="Cambria" w:cs="Arial"/>
          <w:b/>
          <w:sz w:val="20"/>
          <w:szCs w:val="20"/>
        </w:rPr>
        <w:t xml:space="preserve">DAN 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</w:t>
      </w:r>
    </w:p>
    <w:p w14:paraId="1938143F" w14:textId="608A454C" w:rsidR="00A949C6" w:rsidRDefault="007742D0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BERUPA </w:t>
      </w:r>
      <w:r w:rsidR="0060210A">
        <w:rPr>
          <w:rFonts w:ascii="Cambria" w:hAnsi="Cambria" w:cs="Arial"/>
          <w:b/>
          <w:sz w:val="20"/>
          <w:szCs w:val="20"/>
          <w:lang w:val="sv-SE"/>
        </w:rPr>
        <w:t>KENDARAAN RODA DUA</w:t>
      </w:r>
    </w:p>
    <w:p w14:paraId="176D7C4C" w14:textId="46ED8936" w:rsidR="00A949C6" w:rsidRPr="00F04EF2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296347">
        <w:rPr>
          <w:rFonts w:ascii="Cambria" w:hAnsi="Cambria" w:cs="Arial"/>
          <w:b/>
          <w:sz w:val="20"/>
          <w:szCs w:val="20"/>
        </w:rPr>
        <w:t xml:space="preserve">ILAN </w:t>
      </w:r>
      <w:r w:rsidR="00B00D82">
        <w:rPr>
          <w:rFonts w:ascii="Cambria" w:hAnsi="Cambria" w:cs="Arial"/>
          <w:b/>
          <w:sz w:val="20"/>
          <w:szCs w:val="20"/>
        </w:rPr>
        <w:t>AGAMA PAYAKUMBUH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7B1DF05" w14:textId="77777777" w:rsidR="00F72F32" w:rsidRPr="004E4BA6" w:rsidRDefault="00F72F32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2CB435B" w14:textId="77777777" w:rsidR="00A949C6" w:rsidRPr="004E4BA6" w:rsidRDefault="00A949C6" w:rsidP="00F64E7D">
      <w:pPr>
        <w:jc w:val="center"/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39"/>
        <w:gridCol w:w="7733"/>
      </w:tblGrid>
      <w:tr w:rsidR="00A949C6" w:rsidRPr="004E4BA6" w14:paraId="03685341" w14:textId="77777777" w:rsidTr="00A56FA9">
        <w:trPr>
          <w:trHeight w:val="710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9C0FB36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B00D82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512A38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C062FE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472579B7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B40155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B00D82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2D440D68" w14:textId="77777777" w:rsidR="00A56FA9" w:rsidRDefault="00A56FA9" w:rsidP="00A56FA9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A56FA9">
        <w:trPr>
          <w:trHeight w:val="2470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6C32699" w14:textId="77777777" w:rsidR="00FC5322" w:rsidRPr="00A56FA9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A56FA9" w:rsidRPr="00E13C7D" w:rsidRDefault="00A56FA9" w:rsidP="00A56FA9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A56FA9">
        <w:trPr>
          <w:trHeight w:val="533"/>
          <w:jc w:val="center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A56FA9">
        <w:trPr>
          <w:trHeight w:val="701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273408AB" w14:textId="4104E8C8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Roda</w:t>
            </w:r>
            <w:proofErr w:type="spellEnd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Dua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60210A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B40155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B00D82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 w:rsidR="007D5F4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6FA20555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35B388B0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38F96B0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694B41A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1CE454D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21457E8E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0214D06D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38C99F8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73FBBE06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123D5108" w14:textId="77777777" w:rsidR="00A56FA9" w:rsidRPr="004E4BA6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A56FA9">
        <w:trPr>
          <w:trHeight w:val="548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4019C750" w:rsidR="00A949C6" w:rsidRPr="004E4BA6" w:rsidRDefault="00E13C7D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 w:rsidRPr="0068175C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38B4ACB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</w:t>
            </w:r>
            <w:r w:rsidR="00F72F3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akan diusulkan untuk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F72F3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mempersiapkan kelengkapan dokumen persyaratan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7E5ED5E" w14:textId="06530A1B" w:rsidR="00A949C6" w:rsidRPr="003D2B0A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7F0A05CA" w14:textId="79F79F18" w:rsidR="003D2B0A" w:rsidRPr="004E4BA6" w:rsidRDefault="003D2B0A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Melakukan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penilaian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penaksiran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objek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3AB75991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26F3EC84" w:rsidR="00A949C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dijual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="00F72F3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BB5D18F" w14:textId="77777777" w:rsidR="00A949C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2559B888" w14:textId="77777777" w:rsidR="00A56FA9" w:rsidRPr="004E4BA6" w:rsidRDefault="00A56FA9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A56FA9">
        <w:trPr>
          <w:trHeight w:val="683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1D94DAE3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729DEA76" w14:textId="77777777" w:rsid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3FBBAAD1" w:rsidR="00A56FA9" w:rsidRPr="00A56FA9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775180A7" w14:textId="77777777" w:rsidTr="00A56FA9">
        <w:trPr>
          <w:trHeight w:val="645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2F38B352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A56FA9" w:rsidRPr="004E4BA6" w:rsidRDefault="00A56FA9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7F4F161C" w:rsidR="00A949C6" w:rsidRPr="004E4BA6" w:rsidRDefault="00F72F32" w:rsidP="00A56FA9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           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60210A">
        <w:rPr>
          <w:rFonts w:ascii="Cambria" w:hAnsi="Cambria" w:cs="Arial"/>
          <w:sz w:val="20"/>
          <w:szCs w:val="20"/>
          <w:lang w:val="id-ID"/>
        </w:rPr>
        <w:tab/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60210A">
        <w:rPr>
          <w:rFonts w:ascii="Cambria" w:hAnsi="Cambria" w:cs="Arial"/>
          <w:sz w:val="20"/>
          <w:szCs w:val="20"/>
        </w:rPr>
        <w:t xml:space="preserve">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1C49B15D" w14:textId="18D18744" w:rsidR="00A949C6" w:rsidRPr="00881B48" w:rsidRDefault="00B00D82" w:rsidP="00A56FA9">
      <w:pPr>
        <w:ind w:left="6521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  <w:lang w:eastAsia="ko-KR"/>
        </w:rPr>
        <w:pict w14:anchorId="6EC1B7D0">
          <v:line id="_x0000_s1027" style="position:absolute;left:0;text-align:left;z-index:251659264;mso-position-horizontal-relative:text;mso-position-vertical-relative:text" from="327.1pt,13.3pt" to="507pt,13.3pt" strokeweight=".8pt"/>
        </w:pict>
      </w:r>
      <w:r w:rsidR="00A949C6">
        <w:rPr>
          <w:rFonts w:ascii="Cambria" w:hAnsi="Cambria" w:cs="Arial"/>
          <w:sz w:val="20"/>
          <w:szCs w:val="20"/>
          <w:lang w:val="id-ID"/>
        </w:rPr>
        <w:t>Pada Tanggal</w:t>
      </w:r>
      <w:r w:rsidR="0060210A">
        <w:rPr>
          <w:rFonts w:ascii="Cambria" w:hAnsi="Cambria" w:cs="Arial"/>
          <w:sz w:val="20"/>
          <w:szCs w:val="20"/>
        </w:rPr>
        <w:tab/>
      </w:r>
      <w:r w:rsidR="0060210A">
        <w:rPr>
          <w:rFonts w:ascii="Cambria" w:hAnsi="Cambria" w:cs="Arial"/>
          <w:sz w:val="20"/>
          <w:szCs w:val="20"/>
          <w:lang w:val="id-ID"/>
        </w:rPr>
        <w:t xml:space="preserve">: </w:t>
      </w:r>
      <w:r>
        <w:rPr>
          <w:rFonts w:ascii="Cambria" w:hAnsi="Cambria" w:cs="Arial"/>
          <w:sz w:val="20"/>
          <w:szCs w:val="20"/>
        </w:rPr>
        <w:t xml:space="preserve">   </w:t>
      </w:r>
      <w:bookmarkStart w:id="0" w:name="_GoBack"/>
      <w:bookmarkEnd w:id="0"/>
      <w:proofErr w:type="spellStart"/>
      <w:r>
        <w:rPr>
          <w:rFonts w:ascii="Cambria" w:hAnsi="Cambria" w:cs="Arial"/>
          <w:sz w:val="20"/>
          <w:szCs w:val="20"/>
          <w:lang w:val="en-ID"/>
        </w:rPr>
        <w:t>Desember</w:t>
      </w:r>
      <w:proofErr w:type="spellEnd"/>
      <w:r w:rsidR="0060210A">
        <w:rPr>
          <w:rFonts w:ascii="Cambria" w:hAnsi="Cambria" w:cs="Arial"/>
          <w:sz w:val="20"/>
          <w:szCs w:val="20"/>
          <w:lang w:val="en-ID"/>
        </w:rPr>
        <w:t xml:space="preserve"> </w:t>
      </w:r>
      <w:r w:rsidR="00602C69">
        <w:rPr>
          <w:rFonts w:ascii="Cambria" w:hAnsi="Cambria" w:cs="Arial"/>
          <w:sz w:val="20"/>
          <w:szCs w:val="20"/>
          <w:lang w:val="en-ID"/>
        </w:rPr>
        <w:t>2021</w:t>
      </w:r>
      <w:r w:rsidR="00A949C6"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 w:rsidR="00A949C6"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 w:rsidR="00A949C6">
        <w:rPr>
          <w:rFonts w:ascii="Cambria" w:hAnsi="Cambria" w:cs="Arial"/>
          <w:color w:val="FFFFFF"/>
          <w:sz w:val="20"/>
          <w:szCs w:val="20"/>
          <w:lang w:val="id-ID"/>
        </w:rPr>
        <w:t xml:space="preserve"> </w:t>
      </w:r>
      <w:r w:rsidR="00A56FA9">
        <w:rPr>
          <w:rFonts w:ascii="Cambria" w:hAnsi="Cambria" w:cs="Arial"/>
          <w:color w:val="FFFFFF"/>
          <w:sz w:val="20"/>
          <w:szCs w:val="20"/>
        </w:rPr>
        <w:t xml:space="preserve">        </w:t>
      </w:r>
      <w:r w:rsidR="00A949C6"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b/>
          <w:sz w:val="20"/>
          <w:szCs w:val="20"/>
          <w:lang w:val="id-ID"/>
        </w:rPr>
        <w:t>Ketua Pengadilan T</w:t>
      </w:r>
      <w:proofErr w:type="spellStart"/>
      <w:r>
        <w:rPr>
          <w:rFonts w:ascii="Cambria" w:hAnsi="Cambria" w:cs="Arial"/>
          <w:b/>
          <w:sz w:val="20"/>
          <w:szCs w:val="20"/>
        </w:rPr>
        <w:t>i</w:t>
      </w:r>
      <w:proofErr w:type="spellEnd"/>
      <w:r w:rsidR="00A949C6">
        <w:rPr>
          <w:rFonts w:ascii="Cambria" w:hAnsi="Cambria" w:cs="Arial"/>
          <w:b/>
          <w:sz w:val="20"/>
          <w:szCs w:val="20"/>
          <w:lang w:val="id-ID"/>
        </w:rPr>
        <w:t>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038C73D6" w:rsidR="00A949C6" w:rsidRPr="004E4BA6" w:rsidRDefault="00A949C6" w:rsidP="00A56FA9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13A35CBC" w:rsidR="00A949C6" w:rsidRDefault="00A949C6" w:rsidP="00A56FA9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FEDAD1C" w14:textId="77777777" w:rsidR="00A56FA9" w:rsidRDefault="00881B48" w:rsidP="00A56FA9">
      <w:pPr>
        <w:tabs>
          <w:tab w:val="left" w:pos="6946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44BE5CE0" w14:textId="77777777" w:rsidR="00A56FA9" w:rsidRDefault="00A56FA9" w:rsidP="00A56FA9">
      <w:pPr>
        <w:tabs>
          <w:tab w:val="left" w:pos="6946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55FDD351" w14:textId="77777777" w:rsidR="00A56FA9" w:rsidRDefault="00A56FA9" w:rsidP="00A56FA9">
      <w:pPr>
        <w:tabs>
          <w:tab w:val="left" w:pos="6946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613D1ED9" w14:textId="14580A66" w:rsidR="00A949C6" w:rsidRPr="00A56FA9" w:rsidRDefault="00A56FA9" w:rsidP="00A56FA9">
      <w:pPr>
        <w:tabs>
          <w:tab w:val="left" w:pos="6521"/>
        </w:tabs>
        <w:ind w:right="-278"/>
        <w:rPr>
          <w:rFonts w:ascii="Cambria" w:hAnsi="Cambria" w:cs="Arial"/>
          <w:b/>
          <w:sz w:val="20"/>
          <w:szCs w:val="20"/>
          <w:lang w:val="en-ID"/>
        </w:rPr>
        <w:sectPr w:rsidR="00A949C6" w:rsidRPr="00A56FA9" w:rsidSect="00F72F32">
          <w:pgSz w:w="11907" w:h="16839" w:code="9"/>
          <w:pgMar w:top="340" w:right="708" w:bottom="340" w:left="680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A949C6">
        <w:rPr>
          <w:rFonts w:ascii="Cambria" w:hAnsi="Cambria" w:cs="Arial"/>
          <w:b/>
          <w:sz w:val="20"/>
          <w:szCs w:val="20"/>
          <w:lang w:val="id-ID"/>
        </w:rPr>
        <w:t xml:space="preserve">Drs. </w:t>
      </w:r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H. </w:t>
      </w:r>
      <w:proofErr w:type="spellStart"/>
      <w:r w:rsidR="00B520F6"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 w:rsidR="00B520F6">
        <w:rPr>
          <w:rFonts w:ascii="Cambria" w:hAnsi="Cambria" w:cs="Arial"/>
          <w:b/>
          <w:sz w:val="20"/>
          <w:szCs w:val="20"/>
          <w:lang w:val="en-ID"/>
        </w:rPr>
        <w:t xml:space="preserve"> Ahsan, M.H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                                                </w:t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>NIP.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195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50826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.19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8203</w:t>
      </w:r>
      <w:r w:rsidR="00A949C6">
        <w:rPr>
          <w:rFonts w:ascii="Cambria" w:hAnsi="Cambria" w:cs="Arial"/>
          <w:bCs/>
          <w:sz w:val="20"/>
          <w:szCs w:val="20"/>
          <w:lang w:val="id-ID"/>
        </w:rPr>
        <w:t>.1.00</w:t>
      </w:r>
      <w:r w:rsidR="00B520F6">
        <w:rPr>
          <w:rFonts w:ascii="Cambria" w:hAnsi="Cambria" w:cs="Arial"/>
          <w:bCs/>
          <w:sz w:val="20"/>
          <w:szCs w:val="20"/>
          <w:lang w:val="en-ID"/>
        </w:rPr>
        <w:t>4</w:t>
      </w:r>
    </w:p>
    <w:p w14:paraId="00D5675E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4279871E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60210A">
        <w:rPr>
          <w:rFonts w:ascii="Cambria" w:hAnsi="Cambria" w:cs="Arial"/>
          <w:b/>
          <w:sz w:val="20"/>
          <w:szCs w:val="20"/>
        </w:rPr>
        <w:t xml:space="preserve">    </w:t>
      </w:r>
      <w:r w:rsidR="00745C01">
        <w:rPr>
          <w:rFonts w:ascii="Cambria" w:hAnsi="Cambria" w:cs="Arial"/>
          <w:b/>
          <w:sz w:val="20"/>
          <w:szCs w:val="20"/>
        </w:rPr>
        <w:t xml:space="preserve">      </w:t>
      </w:r>
      <w:r w:rsidR="0060210A">
        <w:rPr>
          <w:rFonts w:ascii="Cambria" w:hAnsi="Cambria" w:cs="Arial"/>
          <w:b/>
          <w:sz w:val="20"/>
          <w:szCs w:val="20"/>
        </w:rPr>
        <w:t xml:space="preserve">   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60210A">
        <w:rPr>
          <w:rFonts w:ascii="Cambria" w:hAnsi="Cambria" w:cs="Arial"/>
          <w:b/>
          <w:sz w:val="20"/>
          <w:szCs w:val="20"/>
        </w:rPr>
        <w:t>.06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B00D82">
        <w:rPr>
          <w:rFonts w:ascii="Cambria" w:hAnsi="Cambria" w:cs="Arial"/>
          <w:b/>
          <w:sz w:val="20"/>
          <w:szCs w:val="20"/>
          <w:lang w:val="en-ID"/>
        </w:rPr>
        <w:t>XII</w:t>
      </w:r>
      <w:r w:rsidR="00602C69">
        <w:rPr>
          <w:rFonts w:ascii="Cambria" w:hAnsi="Cambria" w:cs="Arial"/>
          <w:b/>
          <w:sz w:val="20"/>
          <w:szCs w:val="20"/>
          <w:lang w:val="id-ID"/>
        </w:rPr>
        <w:t>/2021</w:t>
      </w:r>
    </w:p>
    <w:p w14:paraId="2731533A" w14:textId="4B415F17" w:rsidR="00A949C6" w:rsidRPr="007D5F4B" w:rsidRDefault="00A949C6" w:rsidP="00A56FA9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00D82">
        <w:rPr>
          <w:rFonts w:ascii="Cambria" w:hAnsi="Cambria" w:cs="Arial"/>
          <w:b/>
          <w:bCs/>
          <w:sz w:val="20"/>
          <w:szCs w:val="20"/>
        </w:rPr>
        <w:t xml:space="preserve">        </w:t>
      </w:r>
      <w:proofErr w:type="spellStart"/>
      <w:r w:rsidR="00B00D82">
        <w:rPr>
          <w:rFonts w:ascii="Cambria" w:hAnsi="Cambria" w:cs="Arial"/>
          <w:b/>
          <w:bCs/>
          <w:sz w:val="20"/>
          <w:szCs w:val="20"/>
        </w:rPr>
        <w:t>Desember</w:t>
      </w:r>
      <w:proofErr w:type="spellEnd"/>
      <w:r w:rsidR="0060210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  <w:lang w:val="id-ID"/>
        </w:rPr>
        <w:t>2</w:t>
      </w:r>
      <w:r w:rsidR="00602C69">
        <w:rPr>
          <w:rFonts w:ascii="Cambria" w:hAnsi="Cambria" w:cs="Arial"/>
          <w:b/>
          <w:bCs/>
          <w:sz w:val="20"/>
          <w:szCs w:val="20"/>
        </w:rPr>
        <w:t>021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40589F5F" w:rsidR="00A949C6" w:rsidRDefault="00E13C7D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 PANITIA PENJUALAN</w:t>
      </w:r>
      <w:r w:rsidR="00F72F32">
        <w:rPr>
          <w:rFonts w:ascii="Cambria" w:hAnsi="Cambria" w:cs="Arial"/>
          <w:b/>
          <w:bCs/>
          <w:sz w:val="20"/>
          <w:szCs w:val="20"/>
        </w:rPr>
        <w:t xml:space="preserve"> DAN PENGHAPUSAN </w:t>
      </w:r>
    </w:p>
    <w:p w14:paraId="3ECF0328" w14:textId="19396A92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72F32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746284">
        <w:rPr>
          <w:rFonts w:ascii="Cambria" w:hAnsi="Cambria" w:cs="Arial"/>
          <w:b/>
          <w:bCs/>
          <w:sz w:val="20"/>
          <w:szCs w:val="20"/>
        </w:rPr>
        <w:t>KENDARAAN RODA DUA</w:t>
      </w:r>
    </w:p>
    <w:p w14:paraId="26B8E375" w14:textId="3200B143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D5F4B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00D82">
        <w:rPr>
          <w:rFonts w:ascii="Cambria" w:hAnsi="Cambria" w:cs="Arial"/>
          <w:b/>
          <w:bCs/>
          <w:sz w:val="20"/>
          <w:szCs w:val="20"/>
        </w:rPr>
        <w:t>AGAMA PAYAKUMBUH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7777777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CDBCDDC" w14:textId="7DF7E586" w:rsidR="00A949C6" w:rsidRPr="004E4BA6" w:rsidRDefault="00A949C6" w:rsidP="00A949C6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Style w:val="TableGrid"/>
        <w:tblW w:w="10539" w:type="dxa"/>
        <w:tblInd w:w="2728" w:type="dxa"/>
        <w:tblLook w:val="04A0" w:firstRow="1" w:lastRow="0" w:firstColumn="1" w:lastColumn="0" w:noHBand="0" w:noVBand="1"/>
      </w:tblPr>
      <w:tblGrid>
        <w:gridCol w:w="567"/>
        <w:gridCol w:w="3544"/>
        <w:gridCol w:w="2150"/>
        <w:gridCol w:w="1719"/>
        <w:gridCol w:w="1862"/>
        <w:gridCol w:w="697"/>
      </w:tblGrid>
      <w:tr w:rsidR="00B00D82" w:rsidRPr="00B00D82" w14:paraId="3DEDA468" w14:textId="77777777" w:rsidTr="00B00D82">
        <w:tc>
          <w:tcPr>
            <w:tcW w:w="567" w:type="dxa"/>
          </w:tcPr>
          <w:p w14:paraId="716EDA8C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3544" w:type="dxa"/>
          </w:tcPr>
          <w:p w14:paraId="44C3232C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Nama/ NIP</w:t>
            </w:r>
          </w:p>
        </w:tc>
        <w:tc>
          <w:tcPr>
            <w:tcW w:w="2150" w:type="dxa"/>
          </w:tcPr>
          <w:p w14:paraId="0D2921A2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D82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Jabatan</w:t>
            </w:r>
            <w:r w:rsidRPr="00B00D8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B00D82">
              <w:rPr>
                <w:rFonts w:asciiTheme="majorHAnsi" w:hAnsiTheme="majorHAnsi" w:cs="Arial"/>
                <w:b/>
                <w:sz w:val="20"/>
                <w:szCs w:val="20"/>
              </w:rPr>
              <w:t>Kedinasan</w:t>
            </w:r>
            <w:proofErr w:type="spellEnd"/>
          </w:p>
        </w:tc>
        <w:tc>
          <w:tcPr>
            <w:tcW w:w="1719" w:type="dxa"/>
          </w:tcPr>
          <w:p w14:paraId="7DFC04BC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Pangkat /Gol. Ruang</w:t>
            </w:r>
          </w:p>
        </w:tc>
        <w:tc>
          <w:tcPr>
            <w:tcW w:w="1862" w:type="dxa"/>
          </w:tcPr>
          <w:p w14:paraId="484EAC0A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Jabatan dalam kepanitiaan</w:t>
            </w:r>
          </w:p>
        </w:tc>
        <w:tc>
          <w:tcPr>
            <w:tcW w:w="697" w:type="dxa"/>
          </w:tcPr>
          <w:p w14:paraId="0D2ACC56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Ket</w:t>
            </w:r>
          </w:p>
        </w:tc>
      </w:tr>
      <w:tr w:rsidR="00B00D82" w:rsidRPr="00B00D82" w14:paraId="2C01B693" w14:textId="77777777" w:rsidTr="00B00D82">
        <w:tc>
          <w:tcPr>
            <w:tcW w:w="567" w:type="dxa"/>
          </w:tcPr>
          <w:p w14:paraId="60C90737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3544" w:type="dxa"/>
          </w:tcPr>
          <w:p w14:paraId="1B26B63A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NURMIA LOCANA, S. KOM</w:t>
            </w:r>
          </w:p>
          <w:p w14:paraId="3729A277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NIP. 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198611132009042006</w:t>
            </w:r>
          </w:p>
        </w:tc>
        <w:tc>
          <w:tcPr>
            <w:tcW w:w="2150" w:type="dxa"/>
          </w:tcPr>
          <w:p w14:paraId="534A8F70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proofErr w:type="spellStart"/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Sekretaris</w:t>
            </w:r>
            <w:proofErr w:type="spellEnd"/>
          </w:p>
        </w:tc>
        <w:tc>
          <w:tcPr>
            <w:tcW w:w="1719" w:type="dxa"/>
          </w:tcPr>
          <w:p w14:paraId="6E6D9E37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Penata 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TK.1/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III.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d</w:t>
            </w:r>
          </w:p>
        </w:tc>
        <w:tc>
          <w:tcPr>
            <w:tcW w:w="1862" w:type="dxa"/>
          </w:tcPr>
          <w:p w14:paraId="7E5B9EB6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Ketua</w:t>
            </w:r>
          </w:p>
        </w:tc>
        <w:tc>
          <w:tcPr>
            <w:tcW w:w="697" w:type="dxa"/>
          </w:tcPr>
          <w:p w14:paraId="1BE49A57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B00D82" w:rsidRPr="00B00D82" w14:paraId="746D3C48" w14:textId="77777777" w:rsidTr="00B00D82">
        <w:trPr>
          <w:trHeight w:val="552"/>
        </w:trPr>
        <w:tc>
          <w:tcPr>
            <w:tcW w:w="567" w:type="dxa"/>
          </w:tcPr>
          <w:p w14:paraId="58C5FD5E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3544" w:type="dxa"/>
          </w:tcPr>
          <w:p w14:paraId="3E95E26E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RAHMAIDA SUSRIANTI, S.HI</w:t>
            </w:r>
          </w:p>
          <w:p w14:paraId="171C634A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NIP.198405112009042008</w:t>
            </w:r>
          </w:p>
        </w:tc>
        <w:tc>
          <w:tcPr>
            <w:tcW w:w="2150" w:type="dxa"/>
          </w:tcPr>
          <w:p w14:paraId="3719D2BE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Kasubag Umum dan Keuangan</w:t>
            </w:r>
          </w:p>
        </w:tc>
        <w:tc>
          <w:tcPr>
            <w:tcW w:w="1719" w:type="dxa"/>
          </w:tcPr>
          <w:p w14:paraId="74B69A16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Penata 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TK.1/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III.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d</w:t>
            </w:r>
          </w:p>
        </w:tc>
        <w:tc>
          <w:tcPr>
            <w:tcW w:w="1862" w:type="dxa"/>
          </w:tcPr>
          <w:p w14:paraId="1C4240BF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697" w:type="dxa"/>
          </w:tcPr>
          <w:p w14:paraId="34BA9184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B00D82" w:rsidRPr="00B00D82" w14:paraId="544AA22F" w14:textId="77777777" w:rsidTr="00B00D82">
        <w:tc>
          <w:tcPr>
            <w:tcW w:w="567" w:type="dxa"/>
          </w:tcPr>
          <w:p w14:paraId="1DAE935D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3.</w:t>
            </w:r>
          </w:p>
        </w:tc>
        <w:tc>
          <w:tcPr>
            <w:tcW w:w="3544" w:type="dxa"/>
          </w:tcPr>
          <w:p w14:paraId="4D581E57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ADIRA RAHMIZA, S.HI</w:t>
            </w:r>
          </w:p>
          <w:p w14:paraId="4890DB5A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NIP. 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198301112009122002</w:t>
            </w:r>
          </w:p>
        </w:tc>
        <w:tc>
          <w:tcPr>
            <w:tcW w:w="2150" w:type="dxa"/>
          </w:tcPr>
          <w:p w14:paraId="783BED2D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Kasubag 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TI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Pelaporan</w:t>
            </w:r>
            <w:proofErr w:type="spellEnd"/>
          </w:p>
        </w:tc>
        <w:tc>
          <w:tcPr>
            <w:tcW w:w="1719" w:type="dxa"/>
          </w:tcPr>
          <w:p w14:paraId="2E06BD40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Penata 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TK.1/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III.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d</w:t>
            </w:r>
          </w:p>
        </w:tc>
        <w:tc>
          <w:tcPr>
            <w:tcW w:w="1862" w:type="dxa"/>
          </w:tcPr>
          <w:p w14:paraId="53971B49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697" w:type="dxa"/>
          </w:tcPr>
          <w:p w14:paraId="66FEB3F5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B00D82" w:rsidRPr="00B00D82" w14:paraId="753E635E" w14:textId="77777777" w:rsidTr="00B00D82">
        <w:tc>
          <w:tcPr>
            <w:tcW w:w="567" w:type="dxa"/>
          </w:tcPr>
          <w:p w14:paraId="4E3CB94B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4.</w:t>
            </w:r>
          </w:p>
        </w:tc>
        <w:tc>
          <w:tcPr>
            <w:tcW w:w="3544" w:type="dxa"/>
          </w:tcPr>
          <w:p w14:paraId="0A9D5262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 xml:space="preserve">TIARA ANTONISA WIELNA, A. </w:t>
            </w:r>
            <w:proofErr w:type="spellStart"/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Md</w:t>
            </w:r>
            <w:proofErr w:type="spellEnd"/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, A.B</w:t>
            </w:r>
          </w:p>
          <w:p w14:paraId="506E2ECD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 xml:space="preserve">NIP. 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199803062020122002</w:t>
            </w:r>
          </w:p>
        </w:tc>
        <w:tc>
          <w:tcPr>
            <w:tcW w:w="2150" w:type="dxa"/>
          </w:tcPr>
          <w:p w14:paraId="2E0646F7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Staf Kasubag Umum dan Keuangan</w:t>
            </w:r>
          </w:p>
        </w:tc>
        <w:tc>
          <w:tcPr>
            <w:tcW w:w="1719" w:type="dxa"/>
          </w:tcPr>
          <w:p w14:paraId="41DD3910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proofErr w:type="spellStart"/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Pelaksana</w:t>
            </w:r>
            <w:proofErr w:type="spellEnd"/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 xml:space="preserve"> II/c</w:t>
            </w:r>
          </w:p>
        </w:tc>
        <w:tc>
          <w:tcPr>
            <w:tcW w:w="1862" w:type="dxa"/>
          </w:tcPr>
          <w:p w14:paraId="5EE2F1A7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Anggota</w:t>
            </w:r>
          </w:p>
        </w:tc>
        <w:tc>
          <w:tcPr>
            <w:tcW w:w="697" w:type="dxa"/>
          </w:tcPr>
          <w:p w14:paraId="435D8183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  <w:tr w:rsidR="00B00D82" w:rsidRPr="00B00D82" w14:paraId="633526D9" w14:textId="77777777" w:rsidTr="00B00D82">
        <w:tc>
          <w:tcPr>
            <w:tcW w:w="567" w:type="dxa"/>
          </w:tcPr>
          <w:p w14:paraId="7576F2C0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5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544" w:type="dxa"/>
          </w:tcPr>
          <w:p w14:paraId="6F4B9546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PEMI YURNAL</w:t>
            </w:r>
          </w:p>
        </w:tc>
        <w:tc>
          <w:tcPr>
            <w:tcW w:w="2150" w:type="dxa"/>
          </w:tcPr>
          <w:p w14:paraId="41AAA36D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PPNPN</w:t>
            </w:r>
          </w:p>
        </w:tc>
        <w:tc>
          <w:tcPr>
            <w:tcW w:w="1719" w:type="dxa"/>
          </w:tcPr>
          <w:p w14:paraId="4A4C7652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 xml:space="preserve">             -</w:t>
            </w:r>
          </w:p>
        </w:tc>
        <w:tc>
          <w:tcPr>
            <w:tcW w:w="1862" w:type="dxa"/>
          </w:tcPr>
          <w:p w14:paraId="72640CF1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en-ID"/>
              </w:rPr>
            </w:pPr>
            <w:r w:rsidRPr="00B00D82">
              <w:rPr>
                <w:rFonts w:asciiTheme="majorHAnsi" w:hAnsiTheme="majorHAnsi" w:cs="Arial"/>
                <w:sz w:val="20"/>
                <w:szCs w:val="20"/>
                <w:lang w:val="id-ID"/>
              </w:rPr>
              <w:t>Anggot</w:t>
            </w:r>
            <w:r w:rsidRPr="00B00D82">
              <w:rPr>
                <w:rFonts w:asciiTheme="majorHAnsi" w:hAnsiTheme="majorHAnsi" w:cs="Arial"/>
                <w:sz w:val="20"/>
                <w:szCs w:val="20"/>
                <w:lang w:val="en-ID"/>
              </w:rPr>
              <w:t>a</w:t>
            </w:r>
          </w:p>
        </w:tc>
        <w:tc>
          <w:tcPr>
            <w:tcW w:w="697" w:type="dxa"/>
          </w:tcPr>
          <w:p w14:paraId="03515BA3" w14:textId="77777777" w:rsidR="00B00D82" w:rsidRPr="00B00D82" w:rsidRDefault="00B00D82" w:rsidP="00EE0171">
            <w:pPr>
              <w:pStyle w:val="NoSpacing"/>
              <w:rPr>
                <w:rFonts w:asciiTheme="majorHAnsi" w:hAnsiTheme="majorHAnsi" w:cs="Arial"/>
                <w:sz w:val="20"/>
                <w:szCs w:val="20"/>
                <w:lang w:val="id-ID"/>
              </w:rPr>
            </w:pPr>
          </w:p>
        </w:tc>
      </w:tr>
    </w:tbl>
    <w:p w14:paraId="4775703A" w14:textId="4951C682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7C2CB00C" w14:textId="6DDE94BE" w:rsidR="00602C69" w:rsidRPr="004E4BA6" w:rsidRDefault="00602C69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124E830" w14:textId="25E9E35A" w:rsidR="00A949C6" w:rsidRPr="004E4BA6" w:rsidRDefault="00F72F32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7FEC18D4" w14:textId="0444E81A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</w:p>
    <w:p w14:paraId="1F818158" w14:textId="14F99CF6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6395A1E9" w14:textId="1B979F56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E715C01" w14:textId="77777777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5DE395F0" w14:textId="2B03A2F1" w:rsidR="00A949C6" w:rsidRPr="00C139D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 w:rsidRPr="004E4BA6"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 xml:space="preserve">Drs. H. </w:t>
      </w:r>
      <w:proofErr w:type="spellStart"/>
      <w:r w:rsidR="003901BE">
        <w:rPr>
          <w:rFonts w:ascii="Cambria" w:hAnsi="Cambria" w:cs="Arial"/>
          <w:b/>
          <w:sz w:val="20"/>
          <w:szCs w:val="20"/>
          <w:lang w:val="en-ID"/>
        </w:rPr>
        <w:t>Zein</w:t>
      </w:r>
      <w:proofErr w:type="spellEnd"/>
      <w:r w:rsidR="003901BE">
        <w:rPr>
          <w:rFonts w:ascii="Cambria" w:hAnsi="Cambria" w:cs="Arial"/>
          <w:b/>
          <w:sz w:val="20"/>
          <w:szCs w:val="20"/>
          <w:lang w:val="en-ID"/>
        </w:rPr>
        <w:t xml:space="preserve"> Ahsan</w:t>
      </w:r>
      <w:r>
        <w:rPr>
          <w:rFonts w:ascii="Cambria" w:hAnsi="Cambria" w:cs="Arial"/>
          <w:b/>
          <w:sz w:val="20"/>
          <w:szCs w:val="20"/>
          <w:lang w:val="id-ID"/>
        </w:rPr>
        <w:t>, MH.</w:t>
      </w:r>
    </w:p>
    <w:p w14:paraId="7EFBF086" w14:textId="458ED43D" w:rsidR="007341CE" w:rsidRDefault="00A949C6" w:rsidP="00F04560">
      <w:pPr>
        <w:tabs>
          <w:tab w:val="left" w:pos="7433"/>
        </w:tabs>
        <w:spacing w:line="192" w:lineRule="auto"/>
        <w:ind w:left="5935" w:right="-278"/>
        <w:jc w:val="both"/>
      </w:pP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>
        <w:rPr>
          <w:rFonts w:ascii="Cambria" w:hAnsi="Cambria" w:cs="Arial"/>
          <w:bCs/>
          <w:sz w:val="20"/>
          <w:szCs w:val="20"/>
          <w:lang w:val="id-ID"/>
        </w:rPr>
        <w:tab/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3901BE">
        <w:rPr>
          <w:rFonts w:ascii="Cambria" w:hAnsi="Cambria" w:cs="Arial"/>
          <w:bCs/>
          <w:sz w:val="20"/>
          <w:szCs w:val="20"/>
          <w:lang w:val="id-ID"/>
        </w:rPr>
        <w:t>195</w:t>
      </w:r>
      <w:r w:rsidR="003901BE">
        <w:rPr>
          <w:rFonts w:ascii="Cambria" w:hAnsi="Cambria" w:cs="Arial"/>
          <w:bCs/>
          <w:sz w:val="20"/>
          <w:szCs w:val="20"/>
          <w:lang w:val="en-ID"/>
        </w:rPr>
        <w:t>50826</w:t>
      </w:r>
      <w:r w:rsidR="003901BE">
        <w:rPr>
          <w:rFonts w:ascii="Cambria" w:hAnsi="Cambria" w:cs="Arial"/>
          <w:bCs/>
          <w:sz w:val="20"/>
          <w:szCs w:val="20"/>
          <w:lang w:val="id-ID"/>
        </w:rPr>
        <w:t>.19</w:t>
      </w:r>
      <w:r w:rsidR="003901BE">
        <w:rPr>
          <w:rFonts w:ascii="Cambria" w:hAnsi="Cambria" w:cs="Arial"/>
          <w:bCs/>
          <w:sz w:val="20"/>
          <w:szCs w:val="20"/>
          <w:lang w:val="en-ID"/>
        </w:rPr>
        <w:t>8203</w:t>
      </w:r>
      <w:r w:rsidR="003901BE">
        <w:rPr>
          <w:rFonts w:ascii="Cambria" w:hAnsi="Cambria" w:cs="Arial"/>
          <w:bCs/>
          <w:sz w:val="20"/>
          <w:szCs w:val="20"/>
          <w:lang w:val="id-ID"/>
        </w:rPr>
        <w:t>.1.00</w:t>
      </w:r>
      <w:r w:rsidR="003901BE">
        <w:rPr>
          <w:rFonts w:ascii="Cambria" w:hAnsi="Cambria" w:cs="Arial"/>
          <w:bCs/>
          <w:sz w:val="20"/>
          <w:szCs w:val="20"/>
          <w:lang w:val="en-ID"/>
        </w:rPr>
        <w:t>4</w:t>
      </w:r>
    </w:p>
    <w:sectPr w:rsidR="007341CE" w:rsidSect="00A56FA9">
      <w:pgSz w:w="16839" w:h="11907" w:orient="landscape" w:code="9"/>
      <w:pgMar w:top="677" w:right="403" w:bottom="677" w:left="42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9C6"/>
    <w:rsid w:val="00027D2C"/>
    <w:rsid w:val="000C33EF"/>
    <w:rsid w:val="0010660C"/>
    <w:rsid w:val="00170B49"/>
    <w:rsid w:val="001A78CA"/>
    <w:rsid w:val="001C2F0F"/>
    <w:rsid w:val="00275AA7"/>
    <w:rsid w:val="00296347"/>
    <w:rsid w:val="0033311D"/>
    <w:rsid w:val="00354CD3"/>
    <w:rsid w:val="00357E8F"/>
    <w:rsid w:val="003901BE"/>
    <w:rsid w:val="003D2B0A"/>
    <w:rsid w:val="00491F17"/>
    <w:rsid w:val="004D25EA"/>
    <w:rsid w:val="00512A38"/>
    <w:rsid w:val="005F4BAC"/>
    <w:rsid w:val="0060210A"/>
    <w:rsid w:val="00602C69"/>
    <w:rsid w:val="00617044"/>
    <w:rsid w:val="00681975"/>
    <w:rsid w:val="006824B3"/>
    <w:rsid w:val="006D6A67"/>
    <w:rsid w:val="007341CE"/>
    <w:rsid w:val="00745C01"/>
    <w:rsid w:val="00746284"/>
    <w:rsid w:val="007742D0"/>
    <w:rsid w:val="007D5F4B"/>
    <w:rsid w:val="007E32F0"/>
    <w:rsid w:val="00881B48"/>
    <w:rsid w:val="008A2A0D"/>
    <w:rsid w:val="00A56FA9"/>
    <w:rsid w:val="00A949C6"/>
    <w:rsid w:val="00AA568E"/>
    <w:rsid w:val="00AD7678"/>
    <w:rsid w:val="00B00D82"/>
    <w:rsid w:val="00B40155"/>
    <w:rsid w:val="00B520F6"/>
    <w:rsid w:val="00B56E14"/>
    <w:rsid w:val="00BA3986"/>
    <w:rsid w:val="00BA46C3"/>
    <w:rsid w:val="00BC620C"/>
    <w:rsid w:val="00C062FE"/>
    <w:rsid w:val="00C50C1F"/>
    <w:rsid w:val="00C820F4"/>
    <w:rsid w:val="00C94249"/>
    <w:rsid w:val="00D1779C"/>
    <w:rsid w:val="00E13C7D"/>
    <w:rsid w:val="00E54EC7"/>
    <w:rsid w:val="00EE6B00"/>
    <w:rsid w:val="00F04560"/>
    <w:rsid w:val="00F26D48"/>
    <w:rsid w:val="00F64E7D"/>
    <w:rsid w:val="00F72F32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37</cp:revision>
  <cp:lastPrinted>2021-10-27T03:16:00Z</cp:lastPrinted>
  <dcterms:created xsi:type="dcterms:W3CDTF">2018-02-21T05:25:00Z</dcterms:created>
  <dcterms:modified xsi:type="dcterms:W3CDTF">2021-11-30T08:14:00Z</dcterms:modified>
</cp:coreProperties>
</file>