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0A819EA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6A4E4B">
        <w:rPr>
          <w:rFonts w:ascii="Bookman Old Style" w:hAnsi="Bookman Old Style"/>
          <w:bCs/>
        </w:rPr>
        <w:t>KU.00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I</w:t>
      </w:r>
      <w:r w:rsidR="006971BD" w:rsidRPr="006971BD">
        <w:rPr>
          <w:rFonts w:ascii="Bookman Old Style" w:hAnsi="Bookman Old Style"/>
          <w:bCs/>
        </w:rPr>
        <w:t>/202</w:t>
      </w:r>
      <w:r w:rsidR="005E56F1">
        <w:rPr>
          <w:rFonts w:ascii="Bookman Old Style" w:hAnsi="Bookman Old Style"/>
          <w:bCs/>
        </w:rPr>
        <w:t>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DA91418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proofErr w:type="spellStart"/>
      <w:r w:rsidR="006A4E4B">
        <w:rPr>
          <w:rFonts w:ascii="Bookman Old Style" w:hAnsi="Bookman Old Style"/>
          <w:sz w:val="21"/>
          <w:szCs w:val="21"/>
        </w:rPr>
        <w:t>Direktorat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Jenderal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6A4E4B">
        <w:rPr>
          <w:rFonts w:ascii="Bookman Old Style" w:hAnsi="Bookman Old Style"/>
          <w:sz w:val="21"/>
          <w:szCs w:val="21"/>
        </w:rPr>
        <w:t>Peradilan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6A4E4B">
        <w:rPr>
          <w:rFonts w:ascii="Bookman Old Style" w:hAnsi="Bookman Old Style"/>
          <w:sz w:val="21"/>
          <w:szCs w:val="21"/>
        </w:rPr>
        <w:t>Mahkamah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6A4E4B">
        <w:rPr>
          <w:rFonts w:ascii="Bookman Old Style" w:hAnsi="Bookman Old Style"/>
          <w:sz w:val="21"/>
          <w:szCs w:val="21"/>
        </w:rPr>
        <w:t>melaksanakan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kegiatan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Konsolidasi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Laporan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Keuangan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Semester I</w:t>
      </w:r>
      <w:r w:rsidR="005E56F1">
        <w:rPr>
          <w:rFonts w:ascii="Bookman Old Style" w:hAnsi="Bookman Old Style"/>
          <w:sz w:val="21"/>
          <w:szCs w:val="21"/>
        </w:rPr>
        <w:t>I</w:t>
      </w:r>
      <w:r w:rsidR="006A4E4B">
        <w:rPr>
          <w:rFonts w:ascii="Bookman Old Style" w:hAnsi="Bookman Old Style"/>
          <w:sz w:val="21"/>
          <w:szCs w:val="21"/>
        </w:rPr>
        <w:t xml:space="preserve"> T</w:t>
      </w:r>
      <w:proofErr w:type="spellStart"/>
      <w:r w:rsidR="006A4E4B">
        <w:rPr>
          <w:rFonts w:ascii="Bookman Old Style" w:hAnsi="Bookman Old Style"/>
          <w:sz w:val="21"/>
          <w:szCs w:val="21"/>
        </w:rPr>
        <w:t>ahun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2024 DIPA 005.04 pada </w:t>
      </w:r>
      <w:proofErr w:type="spellStart"/>
      <w:r w:rsidR="006A4E4B">
        <w:rPr>
          <w:rFonts w:ascii="Bookman Old Style" w:hAnsi="Bookman Old Style"/>
          <w:sz w:val="21"/>
          <w:szCs w:val="21"/>
        </w:rPr>
        <w:t>Direktorat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Jenderal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6A4E4B">
        <w:rPr>
          <w:rFonts w:ascii="Bookman Old Style" w:hAnsi="Bookman Old Style"/>
          <w:sz w:val="21"/>
          <w:szCs w:val="21"/>
        </w:rPr>
        <w:t>Peradilan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Agama yang </w:t>
      </w:r>
      <w:proofErr w:type="spellStart"/>
      <w:r w:rsidR="006A4E4B">
        <w:rPr>
          <w:rFonts w:ascii="Bookman Old Style" w:hAnsi="Bookman Old Style"/>
          <w:sz w:val="21"/>
          <w:szCs w:val="21"/>
        </w:rPr>
        <w:t>diikuti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antara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lain oleh </w:t>
      </w:r>
      <w:proofErr w:type="spellStart"/>
      <w:r w:rsidR="006A4E4B">
        <w:rPr>
          <w:rFonts w:ascii="Bookman Old Style" w:hAnsi="Bookman Old Style"/>
          <w:sz w:val="21"/>
          <w:szCs w:val="21"/>
        </w:rPr>
        <w:t>aparatur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Pengadilan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61766276" w:rsidR="00627684" w:rsidRDefault="00422CD3" w:rsidP="005E56F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5E56F1">
        <w:rPr>
          <w:rFonts w:ascii="Bookman Old Style" w:hAnsi="Bookman Old Style"/>
          <w:sz w:val="21"/>
          <w:szCs w:val="21"/>
        </w:rPr>
        <w:t>1.</w:t>
      </w:r>
      <w:r w:rsidR="005E56F1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6A4E4B">
        <w:rPr>
          <w:rFonts w:ascii="Bookman Old Style" w:hAnsi="Bookman Old Style"/>
          <w:sz w:val="21"/>
          <w:szCs w:val="21"/>
        </w:rPr>
        <w:t>Sekretaris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Direktorat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Jenderal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6A4E4B">
        <w:rPr>
          <w:rFonts w:ascii="Bookman Old Style" w:hAnsi="Bookman Old Style"/>
          <w:sz w:val="21"/>
          <w:szCs w:val="21"/>
        </w:rPr>
        <w:t>Peradilan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6A4E4B">
        <w:rPr>
          <w:rFonts w:ascii="Bookman Old Style" w:hAnsi="Bookman Old Style"/>
          <w:sz w:val="21"/>
          <w:szCs w:val="21"/>
        </w:rPr>
        <w:t>Mahkamah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DA4408">
        <w:rPr>
          <w:rFonts w:ascii="Bookman Old Style" w:hAnsi="Bookman Old Style"/>
          <w:sz w:val="21"/>
          <w:szCs w:val="21"/>
        </w:rPr>
        <w:t>A</w:t>
      </w:r>
      <w:r w:rsidR="006A4E4B">
        <w:rPr>
          <w:rFonts w:ascii="Bookman Old Style" w:hAnsi="Bookman Old Style"/>
          <w:sz w:val="21"/>
          <w:szCs w:val="21"/>
        </w:rPr>
        <w:t xml:space="preserve">gung RI </w:t>
      </w:r>
      <w:proofErr w:type="spellStart"/>
      <w:r w:rsidR="006A4E4B">
        <w:rPr>
          <w:rFonts w:ascii="Bookman Old Style" w:hAnsi="Bookman Old Style"/>
          <w:sz w:val="21"/>
          <w:szCs w:val="21"/>
        </w:rPr>
        <w:t>nomor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5E56F1">
        <w:rPr>
          <w:rFonts w:ascii="Bookman Old Style" w:hAnsi="Bookman Old Style"/>
          <w:sz w:val="21"/>
          <w:szCs w:val="21"/>
        </w:rPr>
        <w:t>052</w:t>
      </w:r>
      <w:r w:rsidR="006A4E4B">
        <w:rPr>
          <w:rFonts w:ascii="Bookman Old Style" w:hAnsi="Bookman Old Style"/>
          <w:sz w:val="21"/>
          <w:szCs w:val="21"/>
        </w:rPr>
        <w:t>/DjA.1/</w:t>
      </w:r>
      <w:r w:rsidR="005E56F1">
        <w:rPr>
          <w:rFonts w:ascii="Bookman Old Style" w:hAnsi="Bookman Old Style"/>
          <w:sz w:val="21"/>
          <w:szCs w:val="21"/>
        </w:rPr>
        <w:t>HM1.1</w:t>
      </w:r>
      <w:r w:rsidR="006A4E4B">
        <w:rPr>
          <w:rFonts w:ascii="Bookman Old Style" w:hAnsi="Bookman Old Style"/>
          <w:sz w:val="21"/>
          <w:szCs w:val="21"/>
        </w:rPr>
        <w:t>/</w:t>
      </w:r>
      <w:r w:rsidR="005E56F1">
        <w:rPr>
          <w:rFonts w:ascii="Bookman Old Style" w:hAnsi="Bookman Old Style"/>
          <w:sz w:val="21"/>
          <w:szCs w:val="21"/>
        </w:rPr>
        <w:t>I</w:t>
      </w:r>
      <w:r w:rsidR="006A4E4B">
        <w:rPr>
          <w:rFonts w:ascii="Bookman Old Style" w:hAnsi="Bookman Old Style"/>
          <w:sz w:val="21"/>
          <w:szCs w:val="21"/>
        </w:rPr>
        <w:t>/202</w:t>
      </w:r>
      <w:r w:rsidR="005E56F1">
        <w:rPr>
          <w:rFonts w:ascii="Bookman Old Style" w:hAnsi="Bookman Old Style"/>
          <w:sz w:val="21"/>
          <w:szCs w:val="21"/>
        </w:rPr>
        <w:t>5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tanggal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5E56F1">
        <w:rPr>
          <w:rFonts w:ascii="Bookman Old Style" w:hAnsi="Bookman Old Style"/>
          <w:sz w:val="21"/>
          <w:szCs w:val="21"/>
        </w:rPr>
        <w:t xml:space="preserve">9 Januari 2025 </w:t>
      </w:r>
      <w:proofErr w:type="spellStart"/>
      <w:r w:rsidR="005E56F1">
        <w:rPr>
          <w:rFonts w:ascii="Bookman Old Style" w:hAnsi="Bookman Old Style"/>
          <w:sz w:val="21"/>
          <w:szCs w:val="21"/>
        </w:rPr>
        <w:t>perihal</w:t>
      </w:r>
      <w:proofErr w:type="spellEnd"/>
      <w:r w:rsid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E56F1">
        <w:rPr>
          <w:rFonts w:ascii="Bookman Old Style" w:hAnsi="Bookman Old Style"/>
          <w:sz w:val="21"/>
          <w:szCs w:val="21"/>
        </w:rPr>
        <w:t>Kegiatan</w:t>
      </w:r>
      <w:proofErr w:type="spellEnd"/>
      <w:r w:rsidR="005E56F1"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E56F1">
        <w:rPr>
          <w:rFonts w:ascii="Bookman Old Style" w:hAnsi="Bookman Old Style"/>
          <w:sz w:val="21"/>
          <w:szCs w:val="21"/>
        </w:rPr>
        <w:t>Konsolidasi</w:t>
      </w:r>
      <w:proofErr w:type="spellEnd"/>
      <w:r w:rsid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E56F1">
        <w:rPr>
          <w:rFonts w:ascii="Bookman Old Style" w:hAnsi="Bookman Old Style"/>
          <w:sz w:val="21"/>
          <w:szCs w:val="21"/>
        </w:rPr>
        <w:t>Laporan</w:t>
      </w:r>
      <w:proofErr w:type="spellEnd"/>
      <w:r w:rsid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E56F1">
        <w:rPr>
          <w:rFonts w:ascii="Bookman Old Style" w:hAnsi="Bookman Old Style"/>
          <w:sz w:val="21"/>
          <w:szCs w:val="21"/>
        </w:rPr>
        <w:t>Keuangan</w:t>
      </w:r>
      <w:proofErr w:type="spellEnd"/>
      <w:r w:rsidR="005E56F1">
        <w:rPr>
          <w:rFonts w:ascii="Bookman Old Style" w:hAnsi="Bookman Old Style"/>
          <w:sz w:val="21"/>
          <w:szCs w:val="21"/>
        </w:rPr>
        <w:t xml:space="preserve"> Semester II </w:t>
      </w:r>
      <w:proofErr w:type="spellStart"/>
      <w:r w:rsidR="005E56F1">
        <w:rPr>
          <w:rFonts w:ascii="Bookman Old Style" w:hAnsi="Bookman Old Style"/>
          <w:sz w:val="21"/>
          <w:szCs w:val="21"/>
        </w:rPr>
        <w:t>Tahun</w:t>
      </w:r>
      <w:proofErr w:type="spellEnd"/>
      <w:r w:rsidR="005E56F1">
        <w:rPr>
          <w:rFonts w:ascii="Bookman Old Style" w:hAnsi="Bookman Old Style"/>
          <w:sz w:val="21"/>
          <w:szCs w:val="21"/>
        </w:rPr>
        <w:t xml:space="preserve"> 2024 DIPA 005.04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60EC10F8" w14:textId="14A2E9CE" w:rsidR="005E56F1" w:rsidRPr="00627684" w:rsidRDefault="005E56F1" w:rsidP="005E56F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2.</w:t>
      </w:r>
      <w:r>
        <w:rPr>
          <w:rFonts w:ascii="Bookman Old Style" w:hAnsi="Bookman Old Style"/>
          <w:sz w:val="21"/>
          <w:szCs w:val="21"/>
        </w:rPr>
        <w:tab/>
      </w:r>
      <w:r w:rsidRPr="005E56F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E56F1">
        <w:rPr>
          <w:rFonts w:ascii="Bookman Old Style" w:hAnsi="Bookman Old Style"/>
          <w:sz w:val="21"/>
          <w:szCs w:val="21"/>
        </w:rPr>
        <w:t>Isian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E56F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E56F1">
        <w:rPr>
          <w:rFonts w:ascii="Bookman Old Style" w:hAnsi="Bookman Old Style"/>
          <w:sz w:val="21"/>
          <w:szCs w:val="21"/>
        </w:rPr>
        <w:t>Anggaran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E56F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E56F1">
        <w:rPr>
          <w:rFonts w:ascii="Bookman Old Style" w:hAnsi="Bookman Old Style"/>
          <w:sz w:val="21"/>
          <w:szCs w:val="21"/>
        </w:rPr>
        <w:t>Nomor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SP DIPA-005.0</w:t>
      </w:r>
      <w:r>
        <w:rPr>
          <w:rFonts w:ascii="Bookman Old Style" w:hAnsi="Bookman Old Style"/>
          <w:sz w:val="21"/>
          <w:szCs w:val="21"/>
        </w:rPr>
        <w:t>4</w:t>
      </w:r>
      <w:r w:rsidRPr="005E56F1">
        <w:rPr>
          <w:rFonts w:ascii="Bookman Old Style" w:hAnsi="Bookman Old Style"/>
          <w:sz w:val="21"/>
          <w:szCs w:val="21"/>
        </w:rPr>
        <w:t>.2.40190</w:t>
      </w:r>
      <w:r>
        <w:rPr>
          <w:rFonts w:ascii="Bookman Old Style" w:hAnsi="Bookman Old Style"/>
          <w:sz w:val="21"/>
          <w:szCs w:val="21"/>
        </w:rPr>
        <w:t>1</w:t>
      </w:r>
      <w:r w:rsidRPr="005E56F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E56F1">
        <w:rPr>
          <w:rFonts w:ascii="Bookman Old Style" w:hAnsi="Bookman Old Style"/>
          <w:sz w:val="21"/>
          <w:szCs w:val="21"/>
        </w:rPr>
        <w:t>tanggal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9 Januari 2025</w:t>
      </w:r>
      <w:r w:rsidRPr="005E56F1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0F2E527C" w14:textId="70B6FD80" w:rsidR="003B7357" w:rsidRPr="003B7357" w:rsidRDefault="00422CD3" w:rsidP="003B7357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6A4E4B">
        <w:rPr>
          <w:rFonts w:ascii="Bookman Old Style" w:hAnsi="Bookman Old Style"/>
          <w:noProof/>
          <w:sz w:val="21"/>
          <w:szCs w:val="21"/>
        </w:rPr>
        <w:t xml:space="preserve">1. </w:t>
      </w:r>
      <w:r w:rsidR="003B7357" w:rsidRPr="003B7357">
        <w:rPr>
          <w:rFonts w:ascii="Bookman Old Style" w:hAnsi="Bookman Old Style"/>
          <w:noProof/>
          <w:sz w:val="21"/>
          <w:szCs w:val="21"/>
        </w:rPr>
        <w:t>Novia Mayasari, S.E. NIP. 199011262020122009 , Penata Muda (III/a), Penata Layanan Operasional</w:t>
      </w:r>
      <w:r w:rsidR="003B7357">
        <w:rPr>
          <w:rFonts w:ascii="Bookman Old Style" w:hAnsi="Bookman Old Style"/>
          <w:noProof/>
          <w:sz w:val="21"/>
          <w:szCs w:val="21"/>
        </w:rPr>
        <w:t>.</w:t>
      </w:r>
    </w:p>
    <w:p w14:paraId="1D09B546" w14:textId="13D53799" w:rsidR="006A4E4B" w:rsidRPr="00627684" w:rsidRDefault="006A4E4B" w:rsidP="003B7357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6A4E4B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 w:rsidR="003B7357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616B13F7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kegiatan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Konsolidasi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Laporan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Keuangan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Semester I</w:t>
      </w:r>
      <w:r w:rsidR="003B7357">
        <w:rPr>
          <w:rFonts w:ascii="Bookman Old Style" w:hAnsi="Bookman Old Style"/>
          <w:sz w:val="21"/>
          <w:szCs w:val="21"/>
        </w:rPr>
        <w:t>I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Tahun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2024 DIPA 005.04 pada </w:t>
      </w:r>
      <w:proofErr w:type="spellStart"/>
      <w:r w:rsidR="006A4E4B">
        <w:rPr>
          <w:rFonts w:ascii="Bookman Old Style" w:hAnsi="Bookman Old Style"/>
          <w:sz w:val="21"/>
          <w:szCs w:val="21"/>
        </w:rPr>
        <w:t>Direktorat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Jenderal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6A4E4B">
        <w:rPr>
          <w:rFonts w:ascii="Bookman Old Style" w:hAnsi="Bookman Old Style"/>
          <w:sz w:val="21"/>
          <w:szCs w:val="21"/>
        </w:rPr>
        <w:t>Peradilan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Agama </w:t>
      </w:r>
      <w:r w:rsidR="00D00D7E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6A4E4B">
        <w:rPr>
          <w:rFonts w:ascii="Bookman Old Style" w:hAnsi="Bookman Old Style"/>
          <w:sz w:val="21"/>
          <w:szCs w:val="21"/>
        </w:rPr>
        <w:t>tanggal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3B7357">
        <w:rPr>
          <w:rFonts w:ascii="Bookman Old Style" w:hAnsi="Bookman Old Style"/>
          <w:sz w:val="21"/>
          <w:szCs w:val="21"/>
        </w:rPr>
        <w:t>22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s.d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3B7357">
        <w:rPr>
          <w:rFonts w:ascii="Bookman Old Style" w:hAnsi="Bookman Old Style"/>
          <w:sz w:val="21"/>
          <w:szCs w:val="21"/>
        </w:rPr>
        <w:t>24 Januari</w:t>
      </w:r>
      <w:r w:rsidR="006A4E4B">
        <w:rPr>
          <w:rFonts w:ascii="Bookman Old Style" w:hAnsi="Bookman Old Style"/>
          <w:sz w:val="21"/>
          <w:szCs w:val="21"/>
        </w:rPr>
        <w:t xml:space="preserve"> 202</w:t>
      </w:r>
      <w:r w:rsidR="003B7357">
        <w:rPr>
          <w:rFonts w:ascii="Bookman Old Style" w:hAnsi="Bookman Old Style"/>
          <w:sz w:val="21"/>
          <w:szCs w:val="21"/>
        </w:rPr>
        <w:t xml:space="preserve">5 </w:t>
      </w:r>
      <w:r w:rsidR="003B7357">
        <w:rPr>
          <w:rFonts w:ascii="Bookman Old Style" w:hAnsi="Bookman Old Style"/>
          <w:sz w:val="21"/>
          <w:szCs w:val="21"/>
        </w:rPr>
        <w:t>di Hotel Hilton Bandung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53EB25A9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tiket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keberangkatan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,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paket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meeting dan uang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saku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pada </w:t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DIPA </w:t>
      </w:r>
      <w:proofErr w:type="spellStart"/>
      <w:r w:rsidR="00D00D7E">
        <w:rPr>
          <w:rFonts w:ascii="Bookman Old Style" w:hAnsi="Bookman Old Style"/>
          <w:sz w:val="21"/>
          <w:szCs w:val="21"/>
        </w:rPr>
        <w:t>Direktorat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00D7E">
        <w:rPr>
          <w:rFonts w:ascii="Bookman Old Style" w:hAnsi="Bookman Old Style"/>
          <w:sz w:val="21"/>
          <w:szCs w:val="21"/>
        </w:rPr>
        <w:t>Jenderal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D00D7E">
        <w:rPr>
          <w:rFonts w:ascii="Bookman Old Style" w:hAnsi="Bookman Old Style"/>
          <w:sz w:val="21"/>
          <w:szCs w:val="21"/>
        </w:rPr>
        <w:t>Peradilan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3B7357">
        <w:rPr>
          <w:rFonts w:ascii="Bookman Old Style" w:hAnsi="Bookman Old Style"/>
          <w:spacing w:val="2"/>
          <w:sz w:val="21"/>
          <w:szCs w:val="21"/>
        </w:rPr>
        <w:t xml:space="preserve">5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sedangkan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tiket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kepulangan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dan transport local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="003B7357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="003B7357">
        <w:rPr>
          <w:rFonts w:ascii="Bookman Old Style" w:hAnsi="Bookman Old Style"/>
          <w:spacing w:val="2"/>
          <w:sz w:val="21"/>
          <w:szCs w:val="21"/>
        </w:rPr>
        <w:t xml:space="preserve"> 2025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149DBD3F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3B7357">
        <w:rPr>
          <w:rFonts w:ascii="Bookman Old Style" w:hAnsi="Bookman Old Style"/>
          <w:sz w:val="21"/>
          <w:szCs w:val="21"/>
        </w:rPr>
        <w:t>15 Januari 2025</w:t>
      </w:r>
    </w:p>
    <w:p w14:paraId="70FD4838" w14:textId="3C2C4D6F" w:rsidR="00422CD3" w:rsidRPr="00DB63D9" w:rsidRDefault="003B7357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  <w:t xml:space="preserve">Wakil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62D9A92B" w:rsidR="00422CD3" w:rsidRPr="00D00D7E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proofErr w:type="spellStart"/>
      <w:r w:rsidR="003B7357">
        <w:rPr>
          <w:rFonts w:ascii="Bookman Old Style" w:hAnsi="Bookman Old Style"/>
          <w:sz w:val="21"/>
          <w:szCs w:val="21"/>
          <w:lang w:val="id-ID"/>
        </w:rPr>
        <w:t>Alaidin</w:t>
      </w:r>
      <w:proofErr w:type="spellEnd"/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55D0F5A6" w14:textId="20DAD973" w:rsidR="00E6780D" w:rsidRPr="00C333D9" w:rsidRDefault="00E6780D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 (sebagai laporan).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668EC"/>
    <w:rsid w:val="00375925"/>
    <w:rsid w:val="00377F52"/>
    <w:rsid w:val="00394C40"/>
    <w:rsid w:val="003974A3"/>
    <w:rsid w:val="003B7357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E56F1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D1E37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2024-03-15T02:38:00Z</cp:lastPrinted>
  <dcterms:created xsi:type="dcterms:W3CDTF">2025-01-15T03:09:00Z</dcterms:created>
  <dcterms:modified xsi:type="dcterms:W3CDTF">2025-01-15T03:09:00Z</dcterms:modified>
</cp:coreProperties>
</file>