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BD" w:rsidRDefault="00360755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4E7BBD">
        <w:trPr>
          <w:trHeight w:val="443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E7BBD">
        <w:trPr>
          <w:trHeight w:val="532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4E7BBD" w:rsidRDefault="00360755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4E7BBD">
        <w:trPr>
          <w:trHeight w:val="266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4E7BBD">
        <w:trPr>
          <w:trHeight w:val="283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E7BBD" w:rsidRDefault="00360755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4E7BBD" w:rsidRDefault="00360755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 w:rsidR="004B5A5D">
        <w:rPr>
          <w:rFonts w:ascii="Bookman Old Style" w:hAnsi="Bookman Old Style" w:cs="Bookman Old Style"/>
          <w:sz w:val="22"/>
          <w:szCs w:val="22"/>
        </w:rPr>
        <w:t xml:space="preserve">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D9408E">
        <w:rPr>
          <w:rFonts w:ascii="Bookman Old Style" w:hAnsi="Bookman Old Style" w:cs="Bookman Old Style"/>
          <w:sz w:val="22"/>
          <w:szCs w:val="22"/>
        </w:rPr>
        <w:t>XII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AE364F">
        <w:rPr>
          <w:rFonts w:ascii="Bookman Old Style" w:hAnsi="Bookman Old Style" w:cs="Bookman Old Style"/>
          <w:sz w:val="22"/>
          <w:szCs w:val="22"/>
        </w:rPr>
        <w:t>1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4B5A5D">
        <w:rPr>
          <w:rFonts w:ascii="Bookman Old Style" w:hAnsi="Bookman Old Style" w:cs="Bookman Old Style"/>
          <w:sz w:val="22"/>
          <w:szCs w:val="22"/>
        </w:rPr>
        <w:t xml:space="preserve">    </w:t>
      </w:r>
      <w:r w:rsidR="00610798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AE364F">
        <w:rPr>
          <w:rFonts w:ascii="Bookman Old Style" w:hAnsi="Bookman Old Style" w:cs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 w:cs="Bookman Old Style"/>
          <w:sz w:val="22"/>
          <w:szCs w:val="22"/>
          <w:lang w:val="id-ID"/>
        </w:rPr>
        <w:t xml:space="preserve"> 202</w:t>
      </w:r>
      <w:r w:rsidR="00AE364F">
        <w:rPr>
          <w:rFonts w:ascii="Bookman Old Style" w:hAnsi="Bookman Old Style" w:cs="Bookman Old Style"/>
          <w:sz w:val="22"/>
          <w:szCs w:val="22"/>
        </w:rPr>
        <w:t>1</w:t>
      </w:r>
    </w:p>
    <w:p w:rsidR="004E7BBD" w:rsidRDefault="00360755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DA7FF1" w:rsidRDefault="00360755" w:rsidP="00DA7FF1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DA7FF1">
        <w:rPr>
          <w:rFonts w:ascii="Bookman Old Style" w:hAnsi="Bookman Old Style" w:cs="Bookman Old Style"/>
          <w:sz w:val="22"/>
          <w:szCs w:val="22"/>
        </w:rPr>
        <w:t xml:space="preserve">Fatwa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uang</w:t>
      </w:r>
      <w:proofErr w:type="spellEnd"/>
      <w:r w:rsidR="0066771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tak</w:t>
      </w:r>
      <w:proofErr w:type="spellEnd"/>
      <w:r w:rsidR="0066771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bertuan</w:t>
      </w:r>
      <w:proofErr w:type="spellEnd"/>
    </w:p>
    <w:p w:rsidR="004E7BBD" w:rsidRDefault="004E7BBD">
      <w:pPr>
        <w:ind w:firstLineChars="500" w:firstLine="1100"/>
        <w:rPr>
          <w:rFonts w:ascii="Bookman Old Style" w:hAnsi="Bookman Old Style" w:cs="Bookman Old Style"/>
          <w:sz w:val="22"/>
          <w:szCs w:val="22"/>
        </w:rPr>
      </w:pPr>
    </w:p>
    <w:p w:rsidR="004E7BBD" w:rsidRDefault="004E7BBD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</w:p>
    <w:p w:rsidR="004E7BBD" w:rsidRDefault="004E7BBD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AE364F">
        <w:rPr>
          <w:rFonts w:ascii="Bookman Old Style" w:hAnsi="Bookman Old Style" w:cs="Bookman Old Style"/>
          <w:b w:val="0"/>
          <w:bCs w:val="0"/>
          <w:sz w:val="22"/>
          <w:szCs w:val="22"/>
        </w:rPr>
        <w:t>Padang Panjang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4E7BBD" w:rsidRDefault="004E7BB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4E7BBD" w:rsidRDefault="00360755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4E7BBD" w:rsidRDefault="004E7BBD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4E7BBD" w:rsidRDefault="00360755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8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1752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/Hk.05/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12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/202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1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3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Desember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1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mohon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petunjuk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rekomendasi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selisih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uang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perkara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yang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tidak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dapat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dijelaska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pemiliknya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agama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padang</w:t>
      </w:r>
      <w:proofErr w:type="spellEnd"/>
      <w:r w:rsidR="00D940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/>
          <w:b w:val="0"/>
          <w:bCs w:val="0"/>
          <w:sz w:val="22"/>
          <w:szCs w:val="22"/>
        </w:rPr>
        <w:t>panjang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sesuai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Pengumuman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Padang Panjang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3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Juni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memenuhi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maksud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SEMA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poin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tiga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), dan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kelebihan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uang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sejumlah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Rp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1.457.500,00 (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satu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juta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empat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ratus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lima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puluh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tujuh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ribu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lima </w:t>
      </w:r>
      <w:proofErr w:type="spellStart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>ratus</w:t>
      </w:r>
      <w:proofErr w:type="spellEnd"/>
      <w:r w:rsidR="00D9408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rupiah)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270FB1"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ditetapkan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uang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tak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bertuan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disetor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kas negara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PNBP.</w:t>
      </w:r>
    </w:p>
    <w:p w:rsidR="004E7BBD" w:rsidRDefault="00360755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4E7BBD" w:rsidRDefault="004E7BBD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4E7BBD" w:rsidRDefault="00360755" w:rsidP="00937C99">
      <w:pPr>
        <w:pStyle w:val="Subtitle"/>
        <w:tabs>
          <w:tab w:val="left" w:pos="1800"/>
        </w:tabs>
        <w:spacing w:line="360" w:lineRule="auto"/>
        <w:ind w:leftChars="2303" w:left="5527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4E7BBD" w:rsidRDefault="00360755" w:rsidP="00937C99">
      <w:pPr>
        <w:pStyle w:val="Subtitle"/>
        <w:tabs>
          <w:tab w:val="left" w:pos="1800"/>
        </w:tabs>
        <w:spacing w:line="360" w:lineRule="auto"/>
        <w:ind w:leftChars="2303" w:left="5527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4E7BBD" w:rsidRDefault="00360755" w:rsidP="00937C99">
      <w:pPr>
        <w:pStyle w:val="Subtitle"/>
        <w:tabs>
          <w:tab w:val="left" w:pos="1800"/>
        </w:tabs>
        <w:spacing w:line="360" w:lineRule="auto"/>
        <w:ind w:leftChars="2303" w:left="5527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4E7BBD" w:rsidRDefault="004E7BBD" w:rsidP="00937C99">
      <w:pPr>
        <w:spacing w:line="360" w:lineRule="auto"/>
        <w:ind w:leftChars="2303" w:left="5527"/>
        <w:jc w:val="both"/>
        <w:rPr>
          <w:rFonts w:ascii="Bookman Old Style" w:hAnsi="Bookman Old Style" w:cs="Bookman Old Style"/>
          <w:sz w:val="22"/>
          <w:szCs w:val="22"/>
        </w:rPr>
      </w:pPr>
    </w:p>
    <w:p w:rsidR="004E7BBD" w:rsidRDefault="004E7BBD" w:rsidP="00937C99">
      <w:pPr>
        <w:spacing w:line="360" w:lineRule="auto"/>
        <w:ind w:leftChars="2303" w:left="5527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4E7BBD" w:rsidRDefault="004B5A5D" w:rsidP="00937C99">
      <w:pPr>
        <w:pStyle w:val="NoSpacing"/>
        <w:tabs>
          <w:tab w:val="left" w:pos="567"/>
        </w:tabs>
        <w:spacing w:line="360" w:lineRule="auto"/>
        <w:ind w:leftChars="2303" w:left="5527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4E7BBD">
          <w:pgSz w:w="12140" w:h="17020"/>
          <w:pgMar w:top="850" w:right="1584" w:bottom="562" w:left="1728" w:header="720" w:footer="720" w:gutter="0"/>
          <w:cols w:space="0"/>
        </w:sectPr>
      </w:pPr>
      <w:r w:rsidRPr="004B5A5D">
        <w:rPr>
          <w:rFonts w:ascii="Bookman Old Style" w:hAnsi="Bookman Old Style" w:cs="Bookman Old Style"/>
          <w:sz w:val="22"/>
          <w:szCs w:val="22"/>
        </w:rPr>
        <w:t xml:space="preserve">Drs. H. </w:t>
      </w:r>
      <w:proofErr w:type="spellStart"/>
      <w:r w:rsidRPr="004B5A5D"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 w:rsidRPr="004B5A5D">
        <w:rPr>
          <w:rFonts w:ascii="Bookman Old Style" w:hAnsi="Bookman Old Style" w:cs="Bookman Old Style"/>
          <w:sz w:val="22"/>
          <w:szCs w:val="22"/>
        </w:rPr>
        <w:t xml:space="preserve"> Ahsan, M.H</w:t>
      </w:r>
      <w:r w:rsidR="00360755">
        <w:rPr>
          <w:rFonts w:ascii="Bookman Old Style" w:hAnsi="Bookman Old Style" w:cs="Bookman Old Style"/>
          <w:sz w:val="22"/>
          <w:szCs w:val="22"/>
        </w:rPr>
        <w:t>.</w:t>
      </w:r>
    </w:p>
    <w:p w:rsidR="004E7BBD" w:rsidRDefault="004E7BBD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4E7BBD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0FB1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0755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B5A5D"/>
    <w:rsid w:val="004E3D9E"/>
    <w:rsid w:val="004E7BBD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10798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711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7C99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64F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408E"/>
    <w:rsid w:val="00D954BE"/>
    <w:rsid w:val="00DA3F44"/>
    <w:rsid w:val="00DA7FF1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40ED0AF3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EB81AA"/>
  <w15:docId w15:val="{7229ED39-90BE-400E-83BF-6D5826F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54265-23D0-41D2-85B1-C0D6332C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2022-06-22T02:11:00Z</cp:lastPrinted>
  <dcterms:created xsi:type="dcterms:W3CDTF">2022-07-12T06:54:00Z</dcterms:created>
  <dcterms:modified xsi:type="dcterms:W3CDTF">2022-07-12T06:58:00Z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1033-11.2.0.10426</vt:lpwstr>
  </property>
  <property fmtid="{D5CDD505-2E9C-101B-9397-08002B2CF9AE}" pid="4" name="ICV">
    <vt:lpwstr>C93F789B9AE54DB2B04E84B0B73C92D3</vt:lpwstr>
  </property>
</Properties>
</file>