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39C" w:rsidRDefault="002F364F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noProof/>
          <w:sz w:val="20"/>
          <w:szCs w:val="20"/>
          <w:highlight w:val="yellow"/>
          <w:lang w:val="id-ID" w:eastAsia="id-ID"/>
        </w:rPr>
        <w:drawing>
          <wp:inline distT="0" distB="0" distL="0" distR="0">
            <wp:extent cx="628650" cy="723900"/>
            <wp:effectExtent l="0" t="0" r="0" b="0"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924" cy="72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39C" w:rsidRDefault="0064139C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p w:rsidR="0064139C" w:rsidRDefault="002F364F">
      <w:pPr>
        <w:spacing w:line="288" w:lineRule="auto"/>
        <w:jc w:val="center"/>
        <w:rPr>
          <w:rFonts w:ascii="Bookman Old Style" w:hAnsi="Bookman Old Style" w:cs="Bookman Old Style"/>
          <w:bCs/>
          <w:sz w:val="21"/>
          <w:szCs w:val="21"/>
          <w:lang w:val="id-ID"/>
        </w:rPr>
      </w:pPr>
      <w:r>
        <w:rPr>
          <w:rFonts w:ascii="Bookman Old Style" w:hAnsi="Bookman Old Style" w:cs="Bookman Old Style"/>
          <w:bCs/>
          <w:sz w:val="21"/>
          <w:szCs w:val="21"/>
          <w:lang w:val="id-ID"/>
        </w:rPr>
        <w:t>KEPUTUSAN KETUA PENGADILAN TINGGI AGAMA PADANG</w:t>
      </w:r>
    </w:p>
    <w:p w:rsidR="0064139C" w:rsidRDefault="002F364F">
      <w:pPr>
        <w:spacing w:line="408" w:lineRule="auto"/>
        <w:jc w:val="center"/>
        <w:rPr>
          <w:rFonts w:ascii="Bookman Old Style" w:hAnsi="Bookman Old Style" w:cs="Bookman Old Style"/>
          <w:bCs/>
          <w:sz w:val="21"/>
          <w:szCs w:val="21"/>
        </w:rPr>
      </w:pPr>
      <w:r>
        <w:rPr>
          <w:rFonts w:ascii="Bookman Old Style" w:hAnsi="Bookman Old Style" w:cs="Bookman Old Style"/>
          <w:bCs/>
          <w:sz w:val="21"/>
          <w:szCs w:val="21"/>
          <w:lang w:val="id-ID"/>
        </w:rPr>
        <w:t>NOMOR : 20</w:t>
      </w:r>
      <w:r w:rsidR="00AD486C">
        <w:rPr>
          <w:rFonts w:ascii="Bookman Old Style" w:hAnsi="Bookman Old Style" w:cs="Bookman Old Style"/>
          <w:bCs/>
          <w:sz w:val="21"/>
          <w:szCs w:val="21"/>
        </w:rPr>
        <w:t>2</w:t>
      </w:r>
      <w:r w:rsidR="008E61C3">
        <w:rPr>
          <w:rFonts w:ascii="Bookman Old Style" w:hAnsi="Bookman Old Style" w:cs="Bookman Old Style"/>
          <w:bCs/>
          <w:sz w:val="21"/>
          <w:szCs w:val="21"/>
        </w:rPr>
        <w:t>4</w:t>
      </w:r>
    </w:p>
    <w:p w:rsidR="0064139C" w:rsidRDefault="002F364F">
      <w:pPr>
        <w:spacing w:line="360" w:lineRule="auto"/>
        <w:jc w:val="center"/>
        <w:rPr>
          <w:rFonts w:ascii="Bookman Old Style" w:hAnsi="Bookman Old Style" w:cs="Bookman Old Style"/>
          <w:bCs/>
          <w:sz w:val="21"/>
          <w:szCs w:val="21"/>
          <w:lang w:val="id-ID"/>
        </w:rPr>
      </w:pPr>
      <w:r>
        <w:rPr>
          <w:rFonts w:ascii="Bookman Old Style" w:hAnsi="Bookman Old Style" w:cs="Bookman Old Style"/>
          <w:bCs/>
          <w:sz w:val="21"/>
          <w:szCs w:val="21"/>
          <w:lang w:val="id-ID"/>
        </w:rPr>
        <w:t>TENTANG</w:t>
      </w:r>
    </w:p>
    <w:p w:rsidR="0064139C" w:rsidRDefault="002F364F">
      <w:pPr>
        <w:jc w:val="center"/>
        <w:rPr>
          <w:rFonts w:ascii="Bookman Old Style" w:hAnsi="Bookman Old Style" w:cs="Bookman Old Style"/>
          <w:bCs/>
          <w:sz w:val="21"/>
          <w:szCs w:val="21"/>
          <w:lang w:val="id-ID"/>
        </w:rPr>
      </w:pPr>
      <w:r>
        <w:rPr>
          <w:rFonts w:ascii="Bookman Old Style" w:hAnsi="Bookman Old Style" w:cs="Bookman Old Style"/>
          <w:bCs/>
          <w:sz w:val="21"/>
          <w:szCs w:val="21"/>
        </w:rPr>
        <w:t xml:space="preserve">REVIU </w:t>
      </w:r>
      <w:r w:rsidR="00280F76">
        <w:rPr>
          <w:rFonts w:ascii="Bookman Old Style" w:hAnsi="Bookman Old Style" w:cs="Bookman Old Style"/>
          <w:bCs/>
          <w:sz w:val="21"/>
          <w:szCs w:val="21"/>
        </w:rPr>
        <w:t>KE-</w:t>
      </w:r>
      <w:r w:rsidR="008E61C3">
        <w:rPr>
          <w:rFonts w:ascii="Bookman Old Style" w:hAnsi="Bookman Old Style" w:cs="Bookman Old Style"/>
          <w:bCs/>
          <w:sz w:val="21"/>
          <w:szCs w:val="21"/>
        </w:rPr>
        <w:t>4</w:t>
      </w:r>
      <w:r w:rsidR="00280F76">
        <w:rPr>
          <w:rFonts w:ascii="Bookman Old Style" w:hAnsi="Bookman Old Style" w:cs="Bookman Old Style"/>
          <w:bCs/>
          <w:sz w:val="21"/>
          <w:szCs w:val="21"/>
        </w:rPr>
        <w:t xml:space="preserve"> </w:t>
      </w:r>
      <w:r>
        <w:rPr>
          <w:rFonts w:ascii="Bookman Old Style" w:hAnsi="Bookman Old Style" w:cs="Bookman Old Style"/>
          <w:bCs/>
          <w:sz w:val="21"/>
          <w:szCs w:val="21"/>
        </w:rPr>
        <w:t xml:space="preserve">RENCANA STRATEGIS PENGADILAN </w:t>
      </w:r>
      <w:r>
        <w:rPr>
          <w:rFonts w:ascii="Bookman Old Style" w:hAnsi="Bookman Old Style" w:cs="Bookman Old Style"/>
          <w:bCs/>
          <w:sz w:val="21"/>
          <w:szCs w:val="21"/>
          <w:lang w:val="id-ID"/>
        </w:rPr>
        <w:t>TINGGI AGAMA PADANG</w:t>
      </w:r>
    </w:p>
    <w:p w:rsidR="0064139C" w:rsidRDefault="002F364F">
      <w:pPr>
        <w:jc w:val="center"/>
        <w:rPr>
          <w:rFonts w:ascii="Bookman Old Style" w:hAnsi="Bookman Old Style" w:cs="Bookman Old Style"/>
          <w:bCs/>
          <w:sz w:val="21"/>
          <w:szCs w:val="21"/>
        </w:rPr>
      </w:pPr>
      <w:r>
        <w:rPr>
          <w:rFonts w:ascii="Bookman Old Style" w:hAnsi="Bookman Old Style" w:cs="Bookman Old Style"/>
          <w:bCs/>
          <w:sz w:val="21"/>
          <w:szCs w:val="21"/>
        </w:rPr>
        <w:t>TAHUN 2020-2024</w:t>
      </w:r>
    </w:p>
    <w:p w:rsidR="0064139C" w:rsidRDefault="0064139C">
      <w:pPr>
        <w:jc w:val="center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2F364F">
      <w:pPr>
        <w:spacing w:line="360" w:lineRule="auto"/>
        <w:jc w:val="center"/>
        <w:rPr>
          <w:rFonts w:ascii="Bookman Old Style" w:hAnsi="Bookman Old Style" w:cs="Bookman Old Style"/>
          <w:bCs/>
          <w:sz w:val="21"/>
          <w:szCs w:val="21"/>
          <w:lang w:val="id-ID"/>
        </w:rPr>
      </w:pPr>
      <w:r>
        <w:rPr>
          <w:rFonts w:ascii="Bookman Old Style" w:hAnsi="Bookman Old Style" w:cs="Bookman Old Style"/>
          <w:bCs/>
          <w:sz w:val="21"/>
          <w:szCs w:val="21"/>
          <w:lang w:val="id-ID"/>
        </w:rPr>
        <w:t>KETUA PENGADILAN TINGGI AGAMA PADANG</w:t>
      </w:r>
    </w:p>
    <w:p w:rsidR="0064139C" w:rsidRDefault="0064139C">
      <w:pPr>
        <w:spacing w:line="360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339"/>
        <w:gridCol w:w="7178"/>
      </w:tblGrid>
      <w:tr w:rsidR="0064139C">
        <w:trPr>
          <w:trHeight w:val="1644"/>
          <w:jc w:val="center"/>
        </w:trPr>
        <w:tc>
          <w:tcPr>
            <w:tcW w:w="1731" w:type="dxa"/>
          </w:tcPr>
          <w:p w:rsidR="0064139C" w:rsidRDefault="002F364F">
            <w:pPr>
              <w:spacing w:line="360" w:lineRule="auto"/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Menimbang</w:t>
            </w:r>
          </w:p>
        </w:tc>
        <w:tc>
          <w:tcPr>
            <w:tcW w:w="339" w:type="dxa"/>
          </w:tcPr>
          <w:p w:rsidR="0064139C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:</w:t>
            </w:r>
          </w:p>
        </w:tc>
        <w:tc>
          <w:tcPr>
            <w:tcW w:w="7178" w:type="dxa"/>
          </w:tcPr>
          <w:p w:rsidR="0064139C" w:rsidRDefault="002F364F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Presiden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Republik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Indonesia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18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Pembangunan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Jangka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Menengah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Nasional 2020-2024,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menyusun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2020-2024;</w:t>
            </w:r>
          </w:p>
          <w:p w:rsidR="0064139C" w:rsidRDefault="002F364F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Laporan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Hasil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Evaluasi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Akuntabilitas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satker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202</w:t>
            </w:r>
            <w:r w:rsidR="007A301C">
              <w:rPr>
                <w:rFonts w:ascii="Bookman Old Style" w:hAnsi="Bookman Old Style" w:cs="Bookman Old Style"/>
                <w:sz w:val="21"/>
                <w:szCs w:val="21"/>
              </w:rPr>
              <w:t>2</w:t>
            </w:r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dilakukan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Reviu</w:t>
            </w:r>
            <w:proofErr w:type="spellEnd"/>
            <w:r w:rsidR="00280F76">
              <w:rPr>
                <w:rFonts w:ascii="Bookman Old Style" w:hAnsi="Bookman Old Style" w:cs="Bookman Old Style"/>
                <w:sz w:val="21"/>
                <w:szCs w:val="21"/>
              </w:rPr>
              <w:t xml:space="preserve"> Ke-</w:t>
            </w:r>
            <w:r w:rsidR="008E61C3">
              <w:rPr>
                <w:rFonts w:ascii="Bookman Old Style" w:hAnsi="Bookman Old Style" w:cs="Bookman Old Style"/>
                <w:sz w:val="21"/>
                <w:szCs w:val="21"/>
              </w:rPr>
              <w:t>4</w:t>
            </w:r>
            <w:r w:rsidR="00280F76"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2020-2024;</w:t>
            </w:r>
          </w:p>
          <w:p w:rsidR="0064139C" w:rsidRDefault="002F364F">
            <w:pPr>
              <w:numPr>
                <w:ilvl w:val="0"/>
                <w:numId w:val="1"/>
              </w:numPr>
              <w:tabs>
                <w:tab w:val="clear" w:pos="309"/>
              </w:tabs>
              <w:spacing w:before="10"/>
              <w:ind w:left="252" w:right="-108" w:hanging="303"/>
              <w:jc w:val="both"/>
              <w:rPr>
                <w:rFonts w:ascii="Bookman Old Style" w:hAnsi="Bookman Old Style" w:cs="Bookman Old Style"/>
                <w:sz w:val="21"/>
                <w:szCs w:val="21"/>
                <w:lang w:val="fi-FI"/>
              </w:rPr>
            </w:pP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a dan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b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diatas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Reviu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r w:rsidR="00280F76">
              <w:rPr>
                <w:rFonts w:ascii="Bookman Old Style" w:hAnsi="Bookman Old Style" w:cs="Bookman Old Style"/>
                <w:sz w:val="21"/>
                <w:szCs w:val="21"/>
              </w:rPr>
              <w:t>Ke-</w:t>
            </w:r>
            <w:r w:rsidR="008E61C3">
              <w:rPr>
                <w:rFonts w:ascii="Bookman Old Style" w:hAnsi="Bookman Old Style" w:cs="Bookman Old Style"/>
                <w:sz w:val="21"/>
                <w:szCs w:val="21"/>
              </w:rPr>
              <w:t>4</w:t>
            </w:r>
            <w:r w:rsidR="00280F76"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1"/>
                <w:szCs w:val="21"/>
              </w:rPr>
              <w:t xml:space="preserve"> 2020-2024;</w:t>
            </w:r>
          </w:p>
          <w:p w:rsidR="0064139C" w:rsidRDefault="0064139C">
            <w:pPr>
              <w:spacing w:before="10"/>
              <w:ind w:left="-51" w:right="-108"/>
              <w:jc w:val="both"/>
              <w:rPr>
                <w:rFonts w:ascii="Bookman Old Style" w:hAnsi="Bookman Old Style" w:cs="Bookman Old Style"/>
                <w:sz w:val="21"/>
                <w:szCs w:val="21"/>
                <w:lang w:val="fi-FI"/>
              </w:rPr>
            </w:pP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numPr>
                <w:ilvl w:val="0"/>
                <w:numId w:val="2"/>
              </w:numPr>
              <w:ind w:right="-108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 xml:space="preserve">Undang-Undang 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14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1985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sebagaimana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telah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>beberapa</w:t>
            </w:r>
            <w:proofErr w:type="spellEnd"/>
            <w:r w:rsidR="00AD50D7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kali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diubah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terakhir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dengan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Undang-Undang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3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2009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Perubahan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Kedua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atas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Undang-Undang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No 14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1985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 w:rsidR="00BF36FE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;</w:t>
            </w:r>
          </w:p>
          <w:p w:rsidR="0064139C" w:rsidRDefault="002F364F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Undang-Undang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25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2004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Sistem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Perencanaan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Pembangunan Nasional;</w:t>
            </w:r>
          </w:p>
          <w:p w:rsidR="0064139C" w:rsidRDefault="002F364F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Undang-Undang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17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2007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Pembangunan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Jangka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Panjang Nasional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2005-2025;</w:t>
            </w:r>
          </w:p>
          <w:p w:rsidR="00BC1E87" w:rsidRPr="00BC1E87" w:rsidRDefault="002F364F" w:rsidP="00BC1E87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Peraturan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Presiden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Republik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Indonesia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18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2020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Pembangunan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Jangka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Menengah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Nasional 2020-2024</w:t>
            </w:r>
            <w:r w:rsidR="00BC1E87">
              <w:rPr>
                <w:rFonts w:ascii="Bookman Old Style" w:eastAsia="Arial Unicode MS" w:hAnsi="Bookman Old Style" w:cs="Bookman Old Style"/>
                <w:sz w:val="21"/>
                <w:szCs w:val="21"/>
              </w:rPr>
              <w:t>;</w:t>
            </w:r>
          </w:p>
          <w:p w:rsidR="00BF36FE" w:rsidRPr="00BC1E87" w:rsidRDefault="00BC1E87" w:rsidP="00BC1E87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proofErr w:type="spellStart"/>
            <w:r w:rsidRPr="00BC1E87">
              <w:rPr>
                <w:rFonts w:ascii="Bookman Old Style" w:hAnsi="Bookman Old Style" w:cs="Tahoma"/>
              </w:rPr>
              <w:t>Peraturan</w:t>
            </w:r>
            <w:proofErr w:type="spellEnd"/>
            <w:r w:rsidRPr="00BC1E87">
              <w:rPr>
                <w:rFonts w:ascii="Bookman Old Style" w:hAnsi="Bookman Old Style" w:cs="Tahoma"/>
              </w:rPr>
              <w:t xml:space="preserve"> Menteri </w:t>
            </w:r>
            <w:proofErr w:type="spellStart"/>
            <w:r w:rsidRPr="00BC1E87">
              <w:rPr>
                <w:rFonts w:ascii="Bookman Old Style" w:hAnsi="Bookman Old Style"/>
              </w:rPr>
              <w:t>Pendayagunaan</w:t>
            </w:r>
            <w:proofErr w:type="spellEnd"/>
            <w:r w:rsidRPr="00BC1E87">
              <w:rPr>
                <w:rFonts w:ascii="Bookman Old Style" w:hAnsi="Bookman Old Style"/>
              </w:rPr>
              <w:t xml:space="preserve"> </w:t>
            </w:r>
            <w:proofErr w:type="spellStart"/>
            <w:r w:rsidRPr="00BC1E87">
              <w:rPr>
                <w:rFonts w:ascii="Bookman Old Style" w:hAnsi="Bookman Old Style"/>
              </w:rPr>
              <w:t>Aparatur</w:t>
            </w:r>
            <w:proofErr w:type="spellEnd"/>
            <w:r w:rsidRPr="00BC1E87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BC1E87">
              <w:rPr>
                <w:rFonts w:ascii="Bookman Old Style" w:hAnsi="Bookman Old Style"/>
              </w:rPr>
              <w:t>Nomor</w:t>
            </w:r>
            <w:proofErr w:type="spellEnd"/>
            <w:r w:rsidRPr="00BC1E87">
              <w:rPr>
                <w:rFonts w:ascii="Bookman Old Style" w:hAnsi="Bookman Old Style"/>
              </w:rPr>
              <w:t xml:space="preserve"> PER/20/M.PAN/11/2008 </w:t>
            </w:r>
            <w:proofErr w:type="spellStart"/>
            <w:r w:rsidRPr="00BC1E87">
              <w:rPr>
                <w:rFonts w:ascii="Bookman Old Style" w:hAnsi="Bookman Old Style"/>
              </w:rPr>
              <w:t>tentang</w:t>
            </w:r>
            <w:proofErr w:type="spellEnd"/>
            <w:r w:rsidRPr="00BC1E87">
              <w:rPr>
                <w:rFonts w:ascii="Bookman Old Style" w:hAnsi="Bookman Old Style"/>
              </w:rPr>
              <w:t xml:space="preserve"> </w:t>
            </w:r>
            <w:proofErr w:type="spellStart"/>
            <w:r w:rsidRPr="00BC1E87">
              <w:rPr>
                <w:rFonts w:ascii="Bookman Old Style" w:hAnsi="Bookman Old Style"/>
              </w:rPr>
              <w:t>Pedoman</w:t>
            </w:r>
            <w:proofErr w:type="spellEnd"/>
            <w:r w:rsidRPr="00BC1E87">
              <w:rPr>
                <w:rFonts w:ascii="Bookman Old Style" w:hAnsi="Bookman Old Style"/>
              </w:rPr>
              <w:t xml:space="preserve"> </w:t>
            </w:r>
            <w:proofErr w:type="spellStart"/>
            <w:r w:rsidRPr="00BC1E87">
              <w:rPr>
                <w:rFonts w:ascii="Bookman Old Style" w:hAnsi="Bookman Old Style"/>
              </w:rPr>
              <w:t>Penyusunan</w:t>
            </w:r>
            <w:proofErr w:type="spellEnd"/>
            <w:r w:rsidRPr="00BC1E87">
              <w:rPr>
                <w:rFonts w:ascii="Bookman Old Style" w:hAnsi="Bookman Old Style"/>
              </w:rPr>
              <w:t xml:space="preserve"> </w:t>
            </w:r>
            <w:proofErr w:type="spellStart"/>
            <w:r w:rsidRPr="00BC1E87">
              <w:rPr>
                <w:rFonts w:ascii="Bookman Old Style" w:hAnsi="Bookman Old Style"/>
              </w:rPr>
              <w:t>Indikator</w:t>
            </w:r>
            <w:proofErr w:type="spellEnd"/>
            <w:r w:rsidRPr="00BC1E87">
              <w:rPr>
                <w:rFonts w:ascii="Bookman Old Style" w:hAnsi="Bookman Old Style"/>
              </w:rPr>
              <w:t xml:space="preserve"> </w:t>
            </w:r>
            <w:proofErr w:type="spellStart"/>
            <w:r w:rsidRPr="00BC1E87">
              <w:rPr>
                <w:rFonts w:ascii="Bookman Old Style" w:hAnsi="Bookman Old Style"/>
              </w:rPr>
              <w:t>Kinerja</w:t>
            </w:r>
            <w:proofErr w:type="spellEnd"/>
            <w:r w:rsidRPr="00BC1E87">
              <w:rPr>
                <w:rFonts w:ascii="Bookman Old Style" w:hAnsi="Bookman Old Style"/>
              </w:rPr>
              <w:t xml:space="preserve"> Utama</w:t>
            </w:r>
            <w:r>
              <w:rPr>
                <w:rFonts w:ascii="Bookman Old Style" w:hAnsi="Bookman Old Style"/>
              </w:rPr>
              <w:t>;</w:t>
            </w:r>
          </w:p>
          <w:p w:rsidR="0064139C" w:rsidRPr="00BC1E87" w:rsidRDefault="002F364F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Keputusan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Sekretaris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 RI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237A/SEK/SK/V/2020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2020-2024;</w:t>
            </w:r>
          </w:p>
          <w:p w:rsidR="00BC1E87" w:rsidRDefault="00BC1E87">
            <w:pPr>
              <w:numPr>
                <w:ilvl w:val="0"/>
                <w:numId w:val="2"/>
              </w:numPr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Surat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Sekretaris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 RI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Nomor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173/SEK/SK/I/2022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tentang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Penetapan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Indikator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Utama (IKU) pada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Tingkat Banding dan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Tingkat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Pertama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Lingkungan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Mahkamah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Agung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Republik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Indonesia.</w:t>
            </w:r>
          </w:p>
          <w:p w:rsidR="0064139C" w:rsidRDefault="0064139C">
            <w:pPr>
              <w:spacing w:line="360" w:lineRule="auto"/>
              <w:ind w:left="24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ind w:left="-108" w:rightChars="-68" w:right="-163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Mamperhatikan</w:t>
            </w:r>
            <w:proofErr w:type="spellEnd"/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817C62" w:rsidRDefault="00AD50D7" w:rsidP="00817C62">
            <w:pPr>
              <w:tabs>
                <w:tab w:val="left" w:pos="252"/>
              </w:tabs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Peraturan Menteri Perencanaan Pembangunan Nasional/Kepala Badan Perencanaan Pembangunan Nasional Nomor 5 Tahun 2019 tentang Tata Cara Penyusunan Rencana Strategis Kementerian/Lembaga Tahun 2020-2024;</w:t>
            </w: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jc w:val="center"/>
        </w:trPr>
        <w:tc>
          <w:tcPr>
            <w:tcW w:w="9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39C" w:rsidRDefault="002F364F">
            <w:pPr>
              <w:spacing w:line="360" w:lineRule="auto"/>
              <w:ind w:right="-108"/>
              <w:jc w:val="center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lastRenderedPageBreak/>
              <w:t>M E M U T U S K A N</w:t>
            </w: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 w:rsidP="00BF36FE">
            <w:pPr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Menetapkan</w:t>
            </w:r>
          </w:p>
          <w:p w:rsidR="0064139C" w:rsidRDefault="0064139C">
            <w:pPr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</w:p>
          <w:p w:rsidR="0064139C" w:rsidRDefault="0064139C">
            <w:pPr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  <w:p w:rsidR="0064139C" w:rsidRDefault="0064139C">
            <w:pPr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  <w:p w:rsidR="0064139C" w:rsidRDefault="0090392B">
            <w:pPr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2F364F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KESATU</w:t>
            </w:r>
          </w:p>
          <w:p w:rsidR="0064139C" w:rsidRDefault="0064139C">
            <w:pPr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:</w:t>
            </w:r>
          </w:p>
          <w:p w:rsidR="0064139C" w:rsidRDefault="0064139C">
            <w:pPr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</w:p>
          <w:p w:rsidR="0064139C" w:rsidRDefault="0064139C">
            <w:pP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  <w:p w:rsidR="0064139C" w:rsidRDefault="0064139C">
            <w:pP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  <w:p w:rsidR="0064139C" w:rsidRDefault="002F364F">
            <w:pP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KEPUTUSAN KETUA PENGADILAN TINGGI AGAMA PADANG TENTANG REVIU </w:t>
            </w:r>
            <w:r w:rsidR="00543F96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Ke-</w:t>
            </w:r>
            <w:r w:rsidR="008E61C3">
              <w:rPr>
                <w:rFonts w:ascii="Bookman Old Style" w:eastAsia="Arial Unicode MS" w:hAnsi="Bookman Old Style" w:cs="Bookman Old Style"/>
                <w:sz w:val="21"/>
                <w:szCs w:val="21"/>
              </w:rPr>
              <w:t>4</w:t>
            </w:r>
            <w:r w:rsidR="00543F96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 STRATEGIS PENGADILAN TINGGI AGAMA PADANG TAHUN 2020-2024</w:t>
            </w:r>
          </w:p>
          <w:p w:rsidR="0064139C" w:rsidRDefault="0064139C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  <w:p w:rsidR="0064139C" w:rsidRDefault="002F364F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Menetapkan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Reviu</w:t>
            </w:r>
            <w:proofErr w:type="spellEnd"/>
            <w:r w:rsidR="00AE06A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Ke-</w:t>
            </w:r>
            <w:r w:rsidR="008E61C3">
              <w:rPr>
                <w:rFonts w:ascii="Bookman Old Style" w:eastAsia="Arial Unicode MS" w:hAnsi="Bookman Old Style" w:cs="Bookman Old Style"/>
                <w:sz w:val="21"/>
                <w:szCs w:val="21"/>
              </w:rPr>
              <w:t>4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2020-2024, yang </w:t>
            </w:r>
            <w:proofErr w:type="spellStart"/>
            <w:proofErr w:type="gram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berisi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:</w:t>
            </w:r>
            <w:proofErr w:type="gramEnd"/>
          </w:p>
          <w:p w:rsidR="0064139C" w:rsidRDefault="002F364F">
            <w:pPr>
              <w:numPr>
                <w:ilvl w:val="0"/>
                <w:numId w:val="3"/>
              </w:numPr>
              <w:ind w:left="267" w:hangingChars="127" w:hanging="267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Tugas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Fungsi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Padang;</w:t>
            </w:r>
          </w:p>
          <w:p w:rsidR="0064139C" w:rsidRDefault="002F364F">
            <w:pPr>
              <w:numPr>
                <w:ilvl w:val="0"/>
                <w:numId w:val="3"/>
              </w:numPr>
              <w:ind w:left="267" w:hangingChars="127" w:hanging="267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Visi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Misi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Sasaran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Padang;</w:t>
            </w:r>
          </w:p>
          <w:p w:rsidR="0064139C" w:rsidRDefault="002F364F">
            <w:pPr>
              <w:numPr>
                <w:ilvl w:val="0"/>
                <w:numId w:val="3"/>
              </w:numPr>
              <w:ind w:left="265" w:hangingChars="126" w:hanging="265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Arah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Kebijakan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Kerangka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Kelembagaan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</w:t>
            </w:r>
            <w:r w:rsidR="00D252C0">
              <w:rPr>
                <w:rFonts w:ascii="Bookman Old Style" w:eastAsia="Arial Unicode MS" w:hAnsi="Bookman Old Style" w:cs="Bookman Old Style"/>
                <w:sz w:val="21"/>
                <w:szCs w:val="21"/>
              </w:rPr>
              <w:t>;</w:t>
            </w:r>
          </w:p>
          <w:p w:rsidR="0064139C" w:rsidRDefault="002F364F" w:rsidP="00C25434">
            <w:pPr>
              <w:numPr>
                <w:ilvl w:val="0"/>
                <w:numId w:val="3"/>
              </w:numPr>
              <w:ind w:left="267" w:hangingChars="127" w:hanging="267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Target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Kerangka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Pendanaan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</w:t>
            </w:r>
            <w:r w:rsidR="00BC12B6">
              <w:rPr>
                <w:rFonts w:ascii="Bookman Old Style" w:eastAsia="Arial Unicode MS" w:hAnsi="Bookman Old Style" w:cs="Bookman Old Style"/>
                <w:sz w:val="21"/>
                <w:szCs w:val="21"/>
              </w:rPr>
              <w:t>.</w:t>
            </w:r>
            <w:r w:rsidR="00D252C0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</w:p>
          <w:p w:rsidR="00817C62" w:rsidRPr="00C25434" w:rsidRDefault="00817C62" w:rsidP="00817C62">
            <w:pPr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90392B">
            <w:pPr>
              <w:spacing w:line="360" w:lineRule="auto"/>
              <w:ind w:left="-108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2F364F"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C25434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Melakukan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Reviu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952255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Ke-</w:t>
            </w:r>
            <w:r w:rsidR="008E61C3">
              <w:rPr>
                <w:rFonts w:ascii="Bookman Old Style" w:eastAsia="Arial Unicode MS" w:hAnsi="Bookman Old Style" w:cs="Bookman Old Style"/>
                <w:sz w:val="21"/>
                <w:szCs w:val="21"/>
              </w:rPr>
              <w:t>4</w:t>
            </w:r>
            <w:r w:rsidR="00952255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Strategis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173974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 w:rsidR="00173974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2020-2024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dengan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perubahan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sebagai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berikut</w:t>
            </w:r>
            <w:proofErr w:type="spellEnd"/>
            <w:r w:rsidR="006842EB">
              <w:rPr>
                <w:rFonts w:ascii="Bookman Old Style" w:eastAsia="Arial Unicode MS" w:hAnsi="Bookman Old Style" w:cs="Bookman Old Style"/>
                <w:sz w:val="21"/>
                <w:szCs w:val="21"/>
              </w:rPr>
              <w:t>:</w:t>
            </w:r>
          </w:p>
          <w:p w:rsidR="00BA5D7E" w:rsidRDefault="00BA5D7E" w:rsidP="00BA5D7E">
            <w:pPr>
              <w:pStyle w:val="ListParagraph"/>
              <w:numPr>
                <w:ilvl w:val="0"/>
                <w:numId w:val="6"/>
              </w:numPr>
              <w:ind w:left="327" w:hanging="284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Merubah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target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pada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indikator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“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Perse</w:t>
            </w:r>
            <w:r w:rsidR="003A7313">
              <w:rPr>
                <w:rFonts w:ascii="Bookman Old Style" w:eastAsia="Arial Unicode MS" w:hAnsi="Bookman Old Style" w:cs="Bookman Old Style"/>
                <w:sz w:val="21"/>
                <w:szCs w:val="21"/>
              </w:rPr>
              <w:t>tase</w:t>
            </w:r>
            <w:proofErr w:type="spellEnd"/>
            <w:r w:rsidR="003A7313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3A7313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Penyelesaian</w:t>
            </w:r>
            <w:proofErr w:type="spellEnd"/>
            <w:r w:rsidR="003A7313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3A7313">
              <w:rPr>
                <w:rFonts w:ascii="Bookman Old Style" w:eastAsia="Arial Unicode MS" w:hAnsi="Bookman Old Style" w:cs="Bookman Old Style"/>
                <w:sz w:val="21"/>
                <w:szCs w:val="21"/>
              </w:rPr>
              <w:t>P</w:t>
            </w:r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erkara</w:t>
            </w:r>
            <w:proofErr w:type="spellEnd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Tepat</w:t>
            </w:r>
            <w:proofErr w:type="spellEnd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Waktu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”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</w:t>
            </w:r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4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dari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100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%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menjadi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99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%;</w:t>
            </w:r>
          </w:p>
          <w:p w:rsidR="00A05B56" w:rsidRDefault="008C0E30" w:rsidP="00BA5D7E">
            <w:pPr>
              <w:pStyle w:val="ListParagraph"/>
              <w:numPr>
                <w:ilvl w:val="0"/>
                <w:numId w:val="6"/>
              </w:numPr>
              <w:ind w:left="327" w:hanging="284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Merubah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target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pada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indikator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“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Persentase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Salinan </w:t>
            </w:r>
            <w:proofErr w:type="spellStart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Putusan</w:t>
            </w:r>
            <w:proofErr w:type="spellEnd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yang </w:t>
            </w:r>
            <w:proofErr w:type="spellStart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dikirim</w:t>
            </w:r>
            <w:proofErr w:type="spellEnd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</w:t>
            </w:r>
            <w:proofErr w:type="spellEnd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Pengaju</w:t>
            </w:r>
            <w:proofErr w:type="spellEnd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Tepat</w:t>
            </w:r>
            <w:proofErr w:type="spellEnd"/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Waktu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”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2024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dari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100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%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menjadi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99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%;</w:t>
            </w:r>
          </w:p>
          <w:p w:rsidR="00734B81" w:rsidRDefault="00734B81" w:rsidP="00BA5D7E">
            <w:pPr>
              <w:pStyle w:val="ListParagraph"/>
              <w:numPr>
                <w:ilvl w:val="0"/>
                <w:numId w:val="6"/>
              </w:numPr>
              <w:ind w:left="327" w:hanging="284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Penyesuaian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Analisa SWOT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dengan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Manajemen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Resiko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Agama Padang;</w:t>
            </w:r>
            <w:bookmarkStart w:id="0" w:name="_GoBack"/>
            <w:bookmarkEnd w:id="0"/>
          </w:p>
          <w:p w:rsidR="006842EB" w:rsidRDefault="00BA5D7E" w:rsidP="00BA5D7E">
            <w:pPr>
              <w:pStyle w:val="ListParagraph"/>
              <w:numPr>
                <w:ilvl w:val="0"/>
                <w:numId w:val="6"/>
              </w:numPr>
              <w:ind w:left="327" w:hanging="284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 w:rsidRPr="00367358">
              <w:rPr>
                <w:rFonts w:ascii="Bookman Old Style" w:eastAsia="Arial Unicode MS" w:hAnsi="Bookman Old Style" w:cs="Bookman Old Style"/>
                <w:color w:val="FF0000"/>
                <w:sz w:val="21"/>
                <w:szCs w:val="21"/>
              </w:rPr>
              <w:t>Meru</w:t>
            </w:r>
            <w:r w:rsidR="00367358" w:rsidRPr="00367358">
              <w:rPr>
                <w:rFonts w:ascii="Bookman Old Style" w:eastAsia="Arial Unicode MS" w:hAnsi="Bookman Old Style" w:cs="Bookman Old Style"/>
                <w:color w:val="FF0000"/>
                <w:sz w:val="21"/>
                <w:szCs w:val="21"/>
              </w:rPr>
              <w:t>bah</w:t>
            </w:r>
            <w:proofErr w:type="spellEnd"/>
            <w:r w:rsidR="00367358" w:rsidRPr="00367358">
              <w:rPr>
                <w:rFonts w:ascii="Bookman Old Style" w:eastAsia="Arial Unicode MS" w:hAnsi="Bookman Old Style" w:cs="Bookman Old Style"/>
                <w:color w:val="FF0000"/>
                <w:sz w:val="21"/>
                <w:szCs w:val="21"/>
              </w:rPr>
              <w:t xml:space="preserve"> </w:t>
            </w:r>
            <w:proofErr w:type="spellStart"/>
            <w:r w:rsidR="00367358" w:rsidRPr="00367358">
              <w:rPr>
                <w:rFonts w:ascii="Bookman Old Style" w:eastAsia="Arial Unicode MS" w:hAnsi="Bookman Old Style" w:cs="Bookman Old Style"/>
                <w:color w:val="FF0000"/>
                <w:sz w:val="21"/>
                <w:szCs w:val="21"/>
              </w:rPr>
              <w:t>Isu</w:t>
            </w:r>
            <w:proofErr w:type="spellEnd"/>
            <w:r w:rsidR="00367358" w:rsidRPr="00367358">
              <w:rPr>
                <w:rFonts w:ascii="Bookman Old Style" w:eastAsia="Arial Unicode MS" w:hAnsi="Bookman Old Style" w:cs="Bookman Old Style"/>
                <w:color w:val="FF0000"/>
                <w:sz w:val="21"/>
                <w:szCs w:val="21"/>
              </w:rPr>
              <w:t xml:space="preserve"> </w:t>
            </w:r>
            <w:proofErr w:type="spellStart"/>
            <w:r w:rsidR="00367358" w:rsidRPr="00367358">
              <w:rPr>
                <w:rFonts w:ascii="Bookman Old Style" w:eastAsia="Arial Unicode MS" w:hAnsi="Bookman Old Style" w:cs="Bookman Old Style"/>
                <w:color w:val="FF0000"/>
                <w:sz w:val="21"/>
                <w:szCs w:val="21"/>
              </w:rPr>
              <w:t>Strategis</w:t>
            </w:r>
            <w:proofErr w:type="spellEnd"/>
            <w:r w:rsidR="00367358" w:rsidRPr="00367358">
              <w:rPr>
                <w:rFonts w:ascii="Bookman Old Style" w:eastAsia="Arial Unicode MS" w:hAnsi="Bookman Old Style" w:cs="Bookman Old Style"/>
                <w:color w:val="FF0000"/>
                <w:sz w:val="21"/>
                <w:szCs w:val="21"/>
              </w:rPr>
              <w:t xml:space="preserve"> Ke-</w:t>
            </w:r>
            <w:r w:rsidR="00367358">
              <w:rPr>
                <w:rFonts w:ascii="Bookman Old Style" w:eastAsia="Arial Unicode MS" w:hAnsi="Bookman Old Style" w:cs="Bookman Old Style"/>
                <w:sz w:val="21"/>
                <w:szCs w:val="21"/>
              </w:rPr>
              <w:t>4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;</w:t>
            </w:r>
          </w:p>
          <w:p w:rsidR="008C0E30" w:rsidRPr="00BA5D7E" w:rsidRDefault="00367358" w:rsidP="00BA5D7E">
            <w:pPr>
              <w:pStyle w:val="ListParagraph"/>
              <w:numPr>
                <w:ilvl w:val="0"/>
                <w:numId w:val="6"/>
              </w:numPr>
              <w:ind w:left="327" w:hanging="284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Perubahan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Isu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Ke-5 “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Peningkatan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Pelaksanaan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Anggaran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menjadi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Efektifitas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” dan “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Efisiensi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Pelaksanaan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Anggaran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”.</w:t>
            </w:r>
          </w:p>
          <w:p w:rsidR="0064139C" w:rsidRDefault="0064139C">
            <w:pPr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 w:rsidP="0090392B">
            <w:pPr>
              <w:spacing w:line="360" w:lineRule="auto"/>
              <w:ind w:left="-14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Pr="00D252C0" w:rsidRDefault="00D252C0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pStyle w:val="ListParagraph"/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Reviu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C25434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Ke-</w:t>
            </w:r>
            <w:r w:rsidR="008E61C3">
              <w:rPr>
                <w:rFonts w:ascii="Bookman Old Style" w:eastAsia="Arial Unicode MS" w:hAnsi="Bookman Old Style" w:cs="Bookman Old Style"/>
                <w:sz w:val="21"/>
                <w:szCs w:val="21"/>
              </w:rPr>
              <w:t>4</w:t>
            </w:r>
            <w:r w:rsidR="00C25434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Strategis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Tinggi Agama Padang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2020-2024</w:t>
            </w:r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digunakan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sebagai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dasar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untuk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menyusun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Kerja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Tahunan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Rencana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Kerja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dan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Anggaran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Perjanjian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,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Laporan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Instansi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Pemerintah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(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LKjIP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)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serta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melakukan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evaluasi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capaian</w:t>
            </w:r>
            <w:proofErr w:type="spellEnd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 w:rsidR="00817C62">
              <w:rPr>
                <w:rFonts w:ascii="Bookman Old Style" w:eastAsia="Arial Unicode MS" w:hAnsi="Bookman Old Style" w:cs="Bookman Old Style"/>
                <w:sz w:val="21"/>
                <w:szCs w:val="21"/>
              </w:rPr>
              <w:t>kinerja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;</w:t>
            </w:r>
          </w:p>
          <w:p w:rsidR="0064139C" w:rsidRDefault="0064139C">
            <w:pPr>
              <w:pStyle w:val="ListParagraph"/>
              <w:ind w:left="-51"/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</w:p>
        </w:tc>
      </w:tr>
      <w:tr w:rsidR="0064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90392B">
            <w:pPr>
              <w:spacing w:line="360" w:lineRule="auto"/>
              <w:ind w:left="-108" w:right="-161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 w:rsidR="002F364F"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spacing w:line="360" w:lineRule="auto"/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: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64139C" w:rsidRDefault="002F364F">
            <w:pPr>
              <w:jc w:val="both"/>
              <w:rPr>
                <w:rFonts w:ascii="Bookman Old Style" w:eastAsia="Arial Unicode MS" w:hAnsi="Bookman Old Style" w:cs="Bookman Old Style"/>
                <w:sz w:val="21"/>
                <w:szCs w:val="21"/>
              </w:rPr>
            </w:pP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Keputusan Ketua Pengadilan Tinggi Agama Padang ini mulai berlaku sejak tanggal di tetapkan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dengan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ketentuan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bahwa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>apabila</w:t>
            </w:r>
            <w:proofErr w:type="spellEnd"/>
            <w:r>
              <w:rPr>
                <w:rFonts w:ascii="Bookman Old Style" w:eastAsia="Arial Unicode MS" w:hAnsi="Bookman Old Style" w:cs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eastAsia="Arial Unicode MS" w:hAnsi="Bookman Old Style" w:cs="Bookman Old Style"/>
                <w:sz w:val="21"/>
                <w:szCs w:val="21"/>
                <w:lang w:val="id-ID"/>
              </w:rPr>
              <w:t>di kemudian hari terdapat kekeliruan dalam keputusan ini, maka akan diadakan perubahan dan perbaikan sebagaimana mestinya.</w:t>
            </w:r>
          </w:p>
        </w:tc>
      </w:tr>
    </w:tbl>
    <w:p w:rsidR="0064139C" w:rsidRDefault="0064139C">
      <w:pPr>
        <w:rPr>
          <w:rFonts w:asciiTheme="majorHAnsi" w:eastAsia="Arial Unicode MS" w:hAnsiTheme="majorHAnsi" w:cs="Arial"/>
          <w:b/>
          <w:bCs/>
          <w:sz w:val="20"/>
          <w:szCs w:val="20"/>
          <w:lang w:val="id-ID"/>
        </w:rPr>
      </w:pPr>
    </w:p>
    <w:p w:rsidR="0064139C" w:rsidRDefault="0064139C">
      <w:pPr>
        <w:tabs>
          <w:tab w:val="left" w:pos="7433"/>
        </w:tabs>
        <w:ind w:right="-278"/>
        <w:jc w:val="both"/>
        <w:rPr>
          <w:rFonts w:asciiTheme="majorHAnsi" w:hAnsiTheme="majorHAnsi" w:cs="Arial"/>
          <w:sz w:val="20"/>
          <w:szCs w:val="20"/>
        </w:rPr>
      </w:pPr>
    </w:p>
    <w:p w:rsidR="00BA5D7E" w:rsidRDefault="002F364F" w:rsidP="00BA5D7E">
      <w:pPr>
        <w:tabs>
          <w:tab w:val="left" w:pos="6096"/>
        </w:tabs>
        <w:ind w:left="4320" w:right="-278" w:firstLine="545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  <w:lang w:val="id-ID"/>
        </w:rPr>
        <w:t>Ditetapkan di</w:t>
      </w:r>
      <w:r w:rsidR="00BA5D7E">
        <w:rPr>
          <w:rFonts w:ascii="Bookman Old Style" w:hAnsi="Bookman Old Style" w:cs="Bookman Old Style"/>
          <w:sz w:val="21"/>
          <w:szCs w:val="21"/>
        </w:rPr>
        <w:t xml:space="preserve"> </w:t>
      </w:r>
      <w:r>
        <w:rPr>
          <w:rFonts w:ascii="Bookman Old Style" w:hAnsi="Bookman Old Style" w:cs="Bookman Old Style"/>
          <w:sz w:val="21"/>
          <w:szCs w:val="21"/>
          <w:lang w:val="zh-CN"/>
        </w:rPr>
        <w:t>Padan</w:t>
      </w:r>
      <w:r w:rsidR="00BA5D7E">
        <w:rPr>
          <w:rFonts w:ascii="Bookman Old Style" w:hAnsi="Bookman Old Style" w:cs="Bookman Old Style"/>
          <w:sz w:val="21"/>
          <w:szCs w:val="21"/>
        </w:rPr>
        <w:t>g</w:t>
      </w:r>
    </w:p>
    <w:p w:rsidR="0064139C" w:rsidRPr="00BA5D7E" w:rsidRDefault="002F364F" w:rsidP="00BA5D7E">
      <w:pPr>
        <w:tabs>
          <w:tab w:val="left" w:pos="6096"/>
        </w:tabs>
        <w:ind w:left="4320" w:right="-278" w:firstLine="545"/>
        <w:rPr>
          <w:rFonts w:ascii="Bookman Old Style" w:hAnsi="Bookman Old Style" w:cs="Bookman Old Style"/>
          <w:sz w:val="21"/>
          <w:szCs w:val="21"/>
          <w:lang w:val="id-ID"/>
        </w:rPr>
      </w:pPr>
      <w:r>
        <w:rPr>
          <w:rFonts w:ascii="Bookman Old Style" w:hAnsi="Bookman Old Style" w:cs="Bookman Old Style"/>
          <w:sz w:val="21"/>
          <w:szCs w:val="21"/>
          <w:lang w:val="id-ID"/>
        </w:rPr>
        <w:t>Pada Tanggal</w:t>
      </w:r>
      <w:r w:rsidR="00BA5D7E">
        <w:rPr>
          <w:rFonts w:ascii="Bookman Old Style" w:hAnsi="Bookman Old Style" w:cs="Bookman Old Style"/>
          <w:sz w:val="21"/>
          <w:szCs w:val="21"/>
        </w:rPr>
        <w:t xml:space="preserve"> </w:t>
      </w:r>
      <w:r w:rsidR="008E61C3">
        <w:rPr>
          <w:rFonts w:ascii="Bookman Old Style" w:hAnsi="Bookman Old Style" w:cs="Bookman Old Style"/>
          <w:sz w:val="21"/>
          <w:szCs w:val="21"/>
        </w:rPr>
        <w:t>10</w:t>
      </w:r>
      <w:r w:rsidR="008C0E30">
        <w:rPr>
          <w:rFonts w:ascii="Bookman Old Style" w:hAnsi="Bookman Old Style" w:cs="Bookman Old Style"/>
          <w:sz w:val="21"/>
          <w:szCs w:val="21"/>
        </w:rPr>
        <w:t xml:space="preserve"> </w:t>
      </w:r>
      <w:proofErr w:type="spellStart"/>
      <w:r w:rsidR="00502537">
        <w:rPr>
          <w:rFonts w:ascii="Bookman Old Style" w:hAnsi="Bookman Old Style" w:cs="Bookman Old Style"/>
          <w:sz w:val="21"/>
          <w:szCs w:val="21"/>
        </w:rPr>
        <w:t>Oktober</w:t>
      </w:r>
      <w:proofErr w:type="spellEnd"/>
      <w:r w:rsidR="00AD486C">
        <w:rPr>
          <w:rFonts w:ascii="Bookman Old Style" w:hAnsi="Bookman Old Style" w:cs="Bookman Old Style"/>
          <w:sz w:val="21"/>
          <w:szCs w:val="21"/>
        </w:rPr>
        <w:t xml:space="preserve"> </w:t>
      </w:r>
      <w:r>
        <w:rPr>
          <w:rFonts w:ascii="Bookman Old Style" w:hAnsi="Bookman Old Style" w:cs="Bookman Old Style"/>
          <w:sz w:val="21"/>
          <w:szCs w:val="21"/>
        </w:rPr>
        <w:t>202</w:t>
      </w:r>
      <w:r w:rsidR="00502537">
        <w:rPr>
          <w:rFonts w:ascii="Bookman Old Style" w:hAnsi="Bookman Old Style" w:cs="Bookman Old Style"/>
          <w:sz w:val="21"/>
          <w:szCs w:val="21"/>
        </w:rPr>
        <w:t>4</w:t>
      </w:r>
    </w:p>
    <w:p w:rsidR="0064139C" w:rsidRDefault="002F364F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  <w:r>
        <w:rPr>
          <w:rFonts w:ascii="Bookman Old Style" w:hAnsi="Bookman Old Style" w:cs="Bookman Old Style"/>
          <w:bCs/>
          <w:sz w:val="21"/>
          <w:szCs w:val="21"/>
          <w:lang w:val="id-ID"/>
        </w:rPr>
        <w:t>KETUA PENGADILAN TINGGI AGAMA</w:t>
      </w:r>
    </w:p>
    <w:p w:rsidR="0064139C" w:rsidRDefault="002F364F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  <w:r>
        <w:rPr>
          <w:rFonts w:ascii="Bookman Old Style" w:hAnsi="Bookman Old Style" w:cs="Bookman Old Style"/>
          <w:bCs/>
          <w:sz w:val="21"/>
          <w:szCs w:val="21"/>
          <w:lang w:val="id-ID"/>
        </w:rPr>
        <w:t>PADANG</w:t>
      </w: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64139C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  <w:lang w:val="id-ID"/>
        </w:rPr>
      </w:pPr>
    </w:p>
    <w:p w:rsidR="0064139C" w:rsidRDefault="00502537">
      <w:pPr>
        <w:tabs>
          <w:tab w:val="left" w:pos="7433"/>
        </w:tabs>
        <w:ind w:left="4865"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  <w:r>
        <w:rPr>
          <w:rFonts w:ascii="Bookman Old Style" w:hAnsi="Bookman Old Style" w:cs="Bookman Old Style"/>
          <w:bCs/>
          <w:sz w:val="21"/>
          <w:szCs w:val="21"/>
        </w:rPr>
        <w:t>ABD. HA</w:t>
      </w:r>
      <w:r w:rsidR="00603737">
        <w:rPr>
          <w:rFonts w:ascii="Bookman Old Style" w:hAnsi="Bookman Old Style" w:cs="Bookman Old Style"/>
          <w:bCs/>
          <w:sz w:val="21"/>
          <w:szCs w:val="21"/>
        </w:rPr>
        <w:t>KIM</w:t>
      </w:r>
    </w:p>
    <w:p w:rsidR="0064139C" w:rsidRDefault="0064139C">
      <w:pPr>
        <w:spacing w:line="192" w:lineRule="auto"/>
        <w:ind w:right="-278"/>
        <w:jc w:val="both"/>
        <w:rPr>
          <w:rFonts w:ascii="Bookman Old Style" w:hAnsi="Bookman Old Style" w:cs="Bookman Old Style"/>
          <w:bCs/>
          <w:sz w:val="21"/>
          <w:szCs w:val="21"/>
        </w:rPr>
      </w:pPr>
    </w:p>
    <w:p w:rsidR="0064139C" w:rsidRDefault="0064139C">
      <w:pPr>
        <w:ind w:right="-278"/>
        <w:rPr>
          <w:rFonts w:ascii="Bookman Old Style" w:hAnsi="Bookman Old Style" w:cs="Bookman Old Style"/>
          <w:b/>
          <w:bCs/>
          <w:sz w:val="21"/>
          <w:szCs w:val="21"/>
        </w:rPr>
        <w:sectPr w:rsidR="0064139C">
          <w:pgSz w:w="11906" w:h="16838"/>
          <w:pgMar w:top="1134" w:right="1701" w:bottom="1134" w:left="1701" w:header="709" w:footer="709" w:gutter="0"/>
          <w:cols w:space="720"/>
          <w:docGrid w:linePitch="360"/>
        </w:sectPr>
      </w:pPr>
    </w:p>
    <w:p w:rsidR="0064139C" w:rsidRDefault="0064139C">
      <w:pPr>
        <w:tabs>
          <w:tab w:val="left" w:pos="7433"/>
        </w:tabs>
        <w:ind w:right="-278"/>
        <w:jc w:val="both"/>
        <w:rPr>
          <w:rFonts w:asciiTheme="majorHAnsi" w:hAnsiTheme="majorHAnsi" w:cs="Arial"/>
          <w:bCs/>
          <w:sz w:val="20"/>
          <w:szCs w:val="20"/>
        </w:rPr>
      </w:pPr>
    </w:p>
    <w:sectPr w:rsidR="0064139C">
      <w:pgSz w:w="16838" w:h="11906" w:orient="landscape"/>
      <w:pgMar w:top="677" w:right="403" w:bottom="864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39C" w:rsidRDefault="002F364F">
      <w:r>
        <w:separator/>
      </w:r>
    </w:p>
  </w:endnote>
  <w:endnote w:type="continuationSeparator" w:id="0">
    <w:p w:rsidR="0064139C" w:rsidRDefault="002F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39C" w:rsidRDefault="002F364F">
      <w:r>
        <w:separator/>
      </w:r>
    </w:p>
  </w:footnote>
  <w:footnote w:type="continuationSeparator" w:id="0">
    <w:p w:rsidR="0064139C" w:rsidRDefault="002F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691"/>
    <w:multiLevelType w:val="multilevel"/>
    <w:tmpl w:val="17E14691"/>
    <w:lvl w:ilvl="0">
      <w:start w:val="1"/>
      <w:numFmt w:val="lowerLetter"/>
      <w:lvlText w:val="%1."/>
      <w:lvlJc w:val="left"/>
      <w:pPr>
        <w:tabs>
          <w:tab w:val="left" w:pos="309"/>
        </w:tabs>
        <w:ind w:left="3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29"/>
        </w:tabs>
        <w:ind w:left="1029" w:hanging="360"/>
      </w:pPr>
    </w:lvl>
    <w:lvl w:ilvl="2">
      <w:start w:val="1"/>
      <w:numFmt w:val="lowerRoman"/>
      <w:lvlText w:val="%3."/>
      <w:lvlJc w:val="right"/>
      <w:pPr>
        <w:tabs>
          <w:tab w:val="left" w:pos="1749"/>
        </w:tabs>
        <w:ind w:left="1749" w:hanging="180"/>
      </w:pPr>
    </w:lvl>
    <w:lvl w:ilvl="3">
      <w:start w:val="1"/>
      <w:numFmt w:val="decimal"/>
      <w:lvlText w:val="%4."/>
      <w:lvlJc w:val="left"/>
      <w:pPr>
        <w:tabs>
          <w:tab w:val="left" w:pos="2469"/>
        </w:tabs>
        <w:ind w:left="2469" w:hanging="360"/>
      </w:pPr>
    </w:lvl>
    <w:lvl w:ilvl="4">
      <w:start w:val="1"/>
      <w:numFmt w:val="lowerLetter"/>
      <w:lvlText w:val="%5."/>
      <w:lvlJc w:val="left"/>
      <w:pPr>
        <w:tabs>
          <w:tab w:val="left" w:pos="3189"/>
        </w:tabs>
        <w:ind w:left="3189" w:hanging="360"/>
      </w:pPr>
    </w:lvl>
    <w:lvl w:ilvl="5">
      <w:start w:val="1"/>
      <w:numFmt w:val="lowerRoman"/>
      <w:lvlText w:val="%6."/>
      <w:lvlJc w:val="right"/>
      <w:pPr>
        <w:tabs>
          <w:tab w:val="left" w:pos="3909"/>
        </w:tabs>
        <w:ind w:left="3909" w:hanging="180"/>
      </w:pPr>
    </w:lvl>
    <w:lvl w:ilvl="6">
      <w:start w:val="1"/>
      <w:numFmt w:val="decimal"/>
      <w:lvlText w:val="%7."/>
      <w:lvlJc w:val="left"/>
      <w:pPr>
        <w:tabs>
          <w:tab w:val="left" w:pos="4629"/>
        </w:tabs>
        <w:ind w:left="4629" w:hanging="360"/>
      </w:pPr>
    </w:lvl>
    <w:lvl w:ilvl="7">
      <w:start w:val="1"/>
      <w:numFmt w:val="lowerLetter"/>
      <w:lvlText w:val="%8."/>
      <w:lvlJc w:val="left"/>
      <w:pPr>
        <w:tabs>
          <w:tab w:val="left" w:pos="5349"/>
        </w:tabs>
        <w:ind w:left="5349" w:hanging="360"/>
      </w:pPr>
    </w:lvl>
    <w:lvl w:ilvl="8">
      <w:start w:val="1"/>
      <w:numFmt w:val="lowerRoman"/>
      <w:lvlText w:val="%9."/>
      <w:lvlJc w:val="right"/>
      <w:pPr>
        <w:tabs>
          <w:tab w:val="left" w:pos="6069"/>
        </w:tabs>
        <w:ind w:left="6069" w:hanging="180"/>
      </w:pPr>
    </w:lvl>
  </w:abstractNum>
  <w:abstractNum w:abstractNumId="1" w15:restartNumberingAfterBreak="0">
    <w:nsid w:val="3C9439D4"/>
    <w:multiLevelType w:val="hybridMultilevel"/>
    <w:tmpl w:val="4E72F712"/>
    <w:lvl w:ilvl="0" w:tplc="38090019">
      <w:start w:val="1"/>
      <w:numFmt w:val="lowerLetter"/>
      <w:lvlText w:val="%1."/>
      <w:lvlJc w:val="left"/>
      <w:pPr>
        <w:ind w:left="987" w:hanging="360"/>
      </w:pPr>
    </w:lvl>
    <w:lvl w:ilvl="1" w:tplc="38090019">
      <w:start w:val="1"/>
      <w:numFmt w:val="lowerLetter"/>
      <w:lvlText w:val="%2."/>
      <w:lvlJc w:val="left"/>
      <w:pPr>
        <w:ind w:left="1707" w:hanging="360"/>
      </w:pPr>
    </w:lvl>
    <w:lvl w:ilvl="2" w:tplc="3809001B" w:tentative="1">
      <w:start w:val="1"/>
      <w:numFmt w:val="lowerRoman"/>
      <w:lvlText w:val="%3."/>
      <w:lvlJc w:val="right"/>
      <w:pPr>
        <w:ind w:left="2427" w:hanging="180"/>
      </w:pPr>
    </w:lvl>
    <w:lvl w:ilvl="3" w:tplc="3809000F" w:tentative="1">
      <w:start w:val="1"/>
      <w:numFmt w:val="decimal"/>
      <w:lvlText w:val="%4."/>
      <w:lvlJc w:val="left"/>
      <w:pPr>
        <w:ind w:left="3147" w:hanging="360"/>
      </w:pPr>
    </w:lvl>
    <w:lvl w:ilvl="4" w:tplc="38090019" w:tentative="1">
      <w:start w:val="1"/>
      <w:numFmt w:val="lowerLetter"/>
      <w:lvlText w:val="%5."/>
      <w:lvlJc w:val="left"/>
      <w:pPr>
        <w:ind w:left="3867" w:hanging="360"/>
      </w:pPr>
    </w:lvl>
    <w:lvl w:ilvl="5" w:tplc="3809001B" w:tentative="1">
      <w:start w:val="1"/>
      <w:numFmt w:val="lowerRoman"/>
      <w:lvlText w:val="%6."/>
      <w:lvlJc w:val="right"/>
      <w:pPr>
        <w:ind w:left="4587" w:hanging="180"/>
      </w:pPr>
    </w:lvl>
    <w:lvl w:ilvl="6" w:tplc="3809000F" w:tentative="1">
      <w:start w:val="1"/>
      <w:numFmt w:val="decimal"/>
      <w:lvlText w:val="%7."/>
      <w:lvlJc w:val="left"/>
      <w:pPr>
        <w:ind w:left="5307" w:hanging="360"/>
      </w:pPr>
    </w:lvl>
    <w:lvl w:ilvl="7" w:tplc="38090019" w:tentative="1">
      <w:start w:val="1"/>
      <w:numFmt w:val="lowerLetter"/>
      <w:lvlText w:val="%8."/>
      <w:lvlJc w:val="left"/>
      <w:pPr>
        <w:ind w:left="6027" w:hanging="360"/>
      </w:pPr>
    </w:lvl>
    <w:lvl w:ilvl="8" w:tplc="3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4808756A"/>
    <w:multiLevelType w:val="singleLevel"/>
    <w:tmpl w:val="4808756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9937005"/>
    <w:multiLevelType w:val="multilevel"/>
    <w:tmpl w:val="6993700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37B09E8"/>
    <w:multiLevelType w:val="hybridMultilevel"/>
    <w:tmpl w:val="8F7636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71541"/>
    <w:multiLevelType w:val="hybridMultilevel"/>
    <w:tmpl w:val="1AA44552"/>
    <w:lvl w:ilvl="0" w:tplc="38090019">
      <w:start w:val="1"/>
      <w:numFmt w:val="lowerLetter"/>
      <w:lvlText w:val="%1."/>
      <w:lvlJc w:val="left"/>
      <w:pPr>
        <w:ind w:left="669" w:hanging="360"/>
      </w:pPr>
    </w:lvl>
    <w:lvl w:ilvl="1" w:tplc="38090019" w:tentative="1">
      <w:start w:val="1"/>
      <w:numFmt w:val="lowerLetter"/>
      <w:lvlText w:val="%2."/>
      <w:lvlJc w:val="left"/>
      <w:pPr>
        <w:ind w:left="1389" w:hanging="360"/>
      </w:pPr>
    </w:lvl>
    <w:lvl w:ilvl="2" w:tplc="3809001B" w:tentative="1">
      <w:start w:val="1"/>
      <w:numFmt w:val="lowerRoman"/>
      <w:lvlText w:val="%3."/>
      <w:lvlJc w:val="right"/>
      <w:pPr>
        <w:ind w:left="2109" w:hanging="180"/>
      </w:pPr>
    </w:lvl>
    <w:lvl w:ilvl="3" w:tplc="3809000F" w:tentative="1">
      <w:start w:val="1"/>
      <w:numFmt w:val="decimal"/>
      <w:lvlText w:val="%4."/>
      <w:lvlJc w:val="left"/>
      <w:pPr>
        <w:ind w:left="2829" w:hanging="360"/>
      </w:pPr>
    </w:lvl>
    <w:lvl w:ilvl="4" w:tplc="38090019" w:tentative="1">
      <w:start w:val="1"/>
      <w:numFmt w:val="lowerLetter"/>
      <w:lvlText w:val="%5."/>
      <w:lvlJc w:val="left"/>
      <w:pPr>
        <w:ind w:left="3549" w:hanging="360"/>
      </w:pPr>
    </w:lvl>
    <w:lvl w:ilvl="5" w:tplc="3809001B" w:tentative="1">
      <w:start w:val="1"/>
      <w:numFmt w:val="lowerRoman"/>
      <w:lvlText w:val="%6."/>
      <w:lvlJc w:val="right"/>
      <w:pPr>
        <w:ind w:left="4269" w:hanging="180"/>
      </w:pPr>
    </w:lvl>
    <w:lvl w:ilvl="6" w:tplc="3809000F" w:tentative="1">
      <w:start w:val="1"/>
      <w:numFmt w:val="decimal"/>
      <w:lvlText w:val="%7."/>
      <w:lvlJc w:val="left"/>
      <w:pPr>
        <w:ind w:left="4989" w:hanging="360"/>
      </w:pPr>
    </w:lvl>
    <w:lvl w:ilvl="7" w:tplc="38090019" w:tentative="1">
      <w:start w:val="1"/>
      <w:numFmt w:val="lowerLetter"/>
      <w:lvlText w:val="%8."/>
      <w:lvlJc w:val="left"/>
      <w:pPr>
        <w:ind w:left="5709" w:hanging="360"/>
      </w:pPr>
    </w:lvl>
    <w:lvl w:ilvl="8" w:tplc="3809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380"/>
    <w:rsid w:val="00000966"/>
    <w:rsid w:val="00003885"/>
    <w:rsid w:val="00005525"/>
    <w:rsid w:val="00010FA0"/>
    <w:rsid w:val="00011C27"/>
    <w:rsid w:val="00012331"/>
    <w:rsid w:val="000139E8"/>
    <w:rsid w:val="00014B03"/>
    <w:rsid w:val="000165E0"/>
    <w:rsid w:val="00020A47"/>
    <w:rsid w:val="000270CF"/>
    <w:rsid w:val="000274D4"/>
    <w:rsid w:val="000325A1"/>
    <w:rsid w:val="00032E92"/>
    <w:rsid w:val="00037D4A"/>
    <w:rsid w:val="0004439D"/>
    <w:rsid w:val="00045C9E"/>
    <w:rsid w:val="000461B6"/>
    <w:rsid w:val="00050336"/>
    <w:rsid w:val="000517B5"/>
    <w:rsid w:val="00052425"/>
    <w:rsid w:val="000560BF"/>
    <w:rsid w:val="00060C94"/>
    <w:rsid w:val="00062DA5"/>
    <w:rsid w:val="000638E3"/>
    <w:rsid w:val="000719C8"/>
    <w:rsid w:val="00072F28"/>
    <w:rsid w:val="00077245"/>
    <w:rsid w:val="00081CAD"/>
    <w:rsid w:val="00082894"/>
    <w:rsid w:val="0008303D"/>
    <w:rsid w:val="00083611"/>
    <w:rsid w:val="00085E37"/>
    <w:rsid w:val="0009091E"/>
    <w:rsid w:val="00091684"/>
    <w:rsid w:val="00092BB4"/>
    <w:rsid w:val="00093167"/>
    <w:rsid w:val="000954C6"/>
    <w:rsid w:val="000970C3"/>
    <w:rsid w:val="000A19F5"/>
    <w:rsid w:val="000A37BC"/>
    <w:rsid w:val="000A5581"/>
    <w:rsid w:val="000A5BBB"/>
    <w:rsid w:val="000B1889"/>
    <w:rsid w:val="000B219E"/>
    <w:rsid w:val="000B2D40"/>
    <w:rsid w:val="000B5E63"/>
    <w:rsid w:val="000B60B7"/>
    <w:rsid w:val="000B65BC"/>
    <w:rsid w:val="000C142B"/>
    <w:rsid w:val="000C36F2"/>
    <w:rsid w:val="000C37FE"/>
    <w:rsid w:val="000C3B6F"/>
    <w:rsid w:val="000C3D5B"/>
    <w:rsid w:val="000C5239"/>
    <w:rsid w:val="000C5364"/>
    <w:rsid w:val="000D06A6"/>
    <w:rsid w:val="000D1EAB"/>
    <w:rsid w:val="000D5DCF"/>
    <w:rsid w:val="000E0D51"/>
    <w:rsid w:val="000E4EF4"/>
    <w:rsid w:val="000E722B"/>
    <w:rsid w:val="000F0E83"/>
    <w:rsid w:val="000F1BA3"/>
    <w:rsid w:val="000F1FF8"/>
    <w:rsid w:val="000F26A8"/>
    <w:rsid w:val="000F556E"/>
    <w:rsid w:val="000F5980"/>
    <w:rsid w:val="000F5BFD"/>
    <w:rsid w:val="000F674E"/>
    <w:rsid w:val="000F7F93"/>
    <w:rsid w:val="0010447D"/>
    <w:rsid w:val="0010489D"/>
    <w:rsid w:val="00104FD2"/>
    <w:rsid w:val="001064B0"/>
    <w:rsid w:val="00111DD1"/>
    <w:rsid w:val="00113630"/>
    <w:rsid w:val="00115D64"/>
    <w:rsid w:val="00116534"/>
    <w:rsid w:val="001176AC"/>
    <w:rsid w:val="0012121A"/>
    <w:rsid w:val="001249B2"/>
    <w:rsid w:val="0012614F"/>
    <w:rsid w:val="001328E8"/>
    <w:rsid w:val="001412E4"/>
    <w:rsid w:val="00141AC3"/>
    <w:rsid w:val="001444C9"/>
    <w:rsid w:val="0015018B"/>
    <w:rsid w:val="00150E84"/>
    <w:rsid w:val="00151AC4"/>
    <w:rsid w:val="00153425"/>
    <w:rsid w:val="0015431B"/>
    <w:rsid w:val="0015548B"/>
    <w:rsid w:val="00155904"/>
    <w:rsid w:val="00157A27"/>
    <w:rsid w:val="00160DA1"/>
    <w:rsid w:val="00161F10"/>
    <w:rsid w:val="0016204A"/>
    <w:rsid w:val="001623E7"/>
    <w:rsid w:val="0016334C"/>
    <w:rsid w:val="00166A52"/>
    <w:rsid w:val="00166E2C"/>
    <w:rsid w:val="001676B7"/>
    <w:rsid w:val="0017172B"/>
    <w:rsid w:val="00171D2F"/>
    <w:rsid w:val="00172FA1"/>
    <w:rsid w:val="00173974"/>
    <w:rsid w:val="001761F9"/>
    <w:rsid w:val="00176842"/>
    <w:rsid w:val="00180CF3"/>
    <w:rsid w:val="00185BA4"/>
    <w:rsid w:val="00187F0D"/>
    <w:rsid w:val="001910B1"/>
    <w:rsid w:val="00193F49"/>
    <w:rsid w:val="0019557F"/>
    <w:rsid w:val="001A23F8"/>
    <w:rsid w:val="001A2BFC"/>
    <w:rsid w:val="001A6318"/>
    <w:rsid w:val="001B1A8A"/>
    <w:rsid w:val="001B55D9"/>
    <w:rsid w:val="001C0789"/>
    <w:rsid w:val="001C2983"/>
    <w:rsid w:val="001C56A3"/>
    <w:rsid w:val="001C576F"/>
    <w:rsid w:val="001C6CCF"/>
    <w:rsid w:val="001D00D5"/>
    <w:rsid w:val="001D5A93"/>
    <w:rsid w:val="001D5C30"/>
    <w:rsid w:val="001D5FA3"/>
    <w:rsid w:val="001D6B64"/>
    <w:rsid w:val="001E07BF"/>
    <w:rsid w:val="001E1C0A"/>
    <w:rsid w:val="001E2E37"/>
    <w:rsid w:val="001E42C3"/>
    <w:rsid w:val="001E488E"/>
    <w:rsid w:val="001E55F2"/>
    <w:rsid w:val="001E6776"/>
    <w:rsid w:val="001F02F2"/>
    <w:rsid w:val="001F3A1A"/>
    <w:rsid w:val="001F65A9"/>
    <w:rsid w:val="001F7A33"/>
    <w:rsid w:val="00200E9D"/>
    <w:rsid w:val="00202D23"/>
    <w:rsid w:val="00203204"/>
    <w:rsid w:val="0020577F"/>
    <w:rsid w:val="00206426"/>
    <w:rsid w:val="00206E24"/>
    <w:rsid w:val="002070AD"/>
    <w:rsid w:val="00207F84"/>
    <w:rsid w:val="0021036E"/>
    <w:rsid w:val="00212189"/>
    <w:rsid w:val="00212353"/>
    <w:rsid w:val="00212CDE"/>
    <w:rsid w:val="002130CF"/>
    <w:rsid w:val="00214D48"/>
    <w:rsid w:val="00215148"/>
    <w:rsid w:val="002202EA"/>
    <w:rsid w:val="002205DF"/>
    <w:rsid w:val="002208F5"/>
    <w:rsid w:val="002261A8"/>
    <w:rsid w:val="00226581"/>
    <w:rsid w:val="00230A8E"/>
    <w:rsid w:val="00231A30"/>
    <w:rsid w:val="002320F0"/>
    <w:rsid w:val="002329FA"/>
    <w:rsid w:val="00236987"/>
    <w:rsid w:val="00236E00"/>
    <w:rsid w:val="00240D30"/>
    <w:rsid w:val="00242D85"/>
    <w:rsid w:val="002455C2"/>
    <w:rsid w:val="0025282C"/>
    <w:rsid w:val="00256AF8"/>
    <w:rsid w:val="002602A8"/>
    <w:rsid w:val="00266121"/>
    <w:rsid w:val="002665B0"/>
    <w:rsid w:val="0027125C"/>
    <w:rsid w:val="002717F3"/>
    <w:rsid w:val="0027329E"/>
    <w:rsid w:val="002740F9"/>
    <w:rsid w:val="0027410A"/>
    <w:rsid w:val="002741A4"/>
    <w:rsid w:val="00274B8F"/>
    <w:rsid w:val="00275783"/>
    <w:rsid w:val="0028067C"/>
    <w:rsid w:val="00280F76"/>
    <w:rsid w:val="00283A76"/>
    <w:rsid w:val="00283D0B"/>
    <w:rsid w:val="00283FC4"/>
    <w:rsid w:val="002858FE"/>
    <w:rsid w:val="002866EF"/>
    <w:rsid w:val="00286F4A"/>
    <w:rsid w:val="0028731D"/>
    <w:rsid w:val="00290242"/>
    <w:rsid w:val="00290AAE"/>
    <w:rsid w:val="00290F30"/>
    <w:rsid w:val="00292C25"/>
    <w:rsid w:val="002937A3"/>
    <w:rsid w:val="002964CD"/>
    <w:rsid w:val="002A0C5C"/>
    <w:rsid w:val="002A2A12"/>
    <w:rsid w:val="002A42E7"/>
    <w:rsid w:val="002A6D4D"/>
    <w:rsid w:val="002A71E2"/>
    <w:rsid w:val="002B1654"/>
    <w:rsid w:val="002B575D"/>
    <w:rsid w:val="002B6BED"/>
    <w:rsid w:val="002B7AA1"/>
    <w:rsid w:val="002C1E18"/>
    <w:rsid w:val="002C3371"/>
    <w:rsid w:val="002C51BE"/>
    <w:rsid w:val="002C6A6B"/>
    <w:rsid w:val="002D273C"/>
    <w:rsid w:val="002E1412"/>
    <w:rsid w:val="002E7520"/>
    <w:rsid w:val="002F0CBE"/>
    <w:rsid w:val="002F1DBC"/>
    <w:rsid w:val="002F364F"/>
    <w:rsid w:val="002F4E40"/>
    <w:rsid w:val="002F5DD3"/>
    <w:rsid w:val="002F6009"/>
    <w:rsid w:val="003009C4"/>
    <w:rsid w:val="00301E77"/>
    <w:rsid w:val="00303667"/>
    <w:rsid w:val="00304C83"/>
    <w:rsid w:val="00307DB6"/>
    <w:rsid w:val="00311D62"/>
    <w:rsid w:val="00312829"/>
    <w:rsid w:val="00313344"/>
    <w:rsid w:val="003134C3"/>
    <w:rsid w:val="00316C7A"/>
    <w:rsid w:val="003230AE"/>
    <w:rsid w:val="00324073"/>
    <w:rsid w:val="003242B6"/>
    <w:rsid w:val="00325AA4"/>
    <w:rsid w:val="003270CA"/>
    <w:rsid w:val="003301A9"/>
    <w:rsid w:val="003310E7"/>
    <w:rsid w:val="00333D0C"/>
    <w:rsid w:val="00340FDF"/>
    <w:rsid w:val="00341A74"/>
    <w:rsid w:val="00342066"/>
    <w:rsid w:val="0034216C"/>
    <w:rsid w:val="00345CF6"/>
    <w:rsid w:val="0035139A"/>
    <w:rsid w:val="00351AFF"/>
    <w:rsid w:val="0035226B"/>
    <w:rsid w:val="003531C9"/>
    <w:rsid w:val="00356EDD"/>
    <w:rsid w:val="00356EF9"/>
    <w:rsid w:val="00363383"/>
    <w:rsid w:val="00364875"/>
    <w:rsid w:val="003654DD"/>
    <w:rsid w:val="00367358"/>
    <w:rsid w:val="003705FE"/>
    <w:rsid w:val="003707CC"/>
    <w:rsid w:val="00370C75"/>
    <w:rsid w:val="003720AE"/>
    <w:rsid w:val="003728B1"/>
    <w:rsid w:val="003735DC"/>
    <w:rsid w:val="00374624"/>
    <w:rsid w:val="003762E3"/>
    <w:rsid w:val="00376335"/>
    <w:rsid w:val="00376936"/>
    <w:rsid w:val="003771A8"/>
    <w:rsid w:val="003848C9"/>
    <w:rsid w:val="00385C33"/>
    <w:rsid w:val="0038608C"/>
    <w:rsid w:val="00391118"/>
    <w:rsid w:val="00392040"/>
    <w:rsid w:val="003940E3"/>
    <w:rsid w:val="0039499E"/>
    <w:rsid w:val="00397BDD"/>
    <w:rsid w:val="003A23DD"/>
    <w:rsid w:val="003A2605"/>
    <w:rsid w:val="003A3C59"/>
    <w:rsid w:val="003A7313"/>
    <w:rsid w:val="003A7440"/>
    <w:rsid w:val="003B0CFE"/>
    <w:rsid w:val="003B42CA"/>
    <w:rsid w:val="003B57F2"/>
    <w:rsid w:val="003C2986"/>
    <w:rsid w:val="003C3587"/>
    <w:rsid w:val="003C544E"/>
    <w:rsid w:val="003C6691"/>
    <w:rsid w:val="003C6AEA"/>
    <w:rsid w:val="003D1F5C"/>
    <w:rsid w:val="003D25B7"/>
    <w:rsid w:val="003D3053"/>
    <w:rsid w:val="003D5150"/>
    <w:rsid w:val="003E0D5F"/>
    <w:rsid w:val="003E0E65"/>
    <w:rsid w:val="003E37C5"/>
    <w:rsid w:val="003E3CB4"/>
    <w:rsid w:val="003E49D2"/>
    <w:rsid w:val="003E6F85"/>
    <w:rsid w:val="003E7494"/>
    <w:rsid w:val="003F179A"/>
    <w:rsid w:val="003F1A1A"/>
    <w:rsid w:val="003F1E5C"/>
    <w:rsid w:val="003F662F"/>
    <w:rsid w:val="003F6652"/>
    <w:rsid w:val="00400E27"/>
    <w:rsid w:val="004059A0"/>
    <w:rsid w:val="00405A39"/>
    <w:rsid w:val="0040716C"/>
    <w:rsid w:val="004117C3"/>
    <w:rsid w:val="0041403D"/>
    <w:rsid w:val="0041449B"/>
    <w:rsid w:val="00414C03"/>
    <w:rsid w:val="00415B06"/>
    <w:rsid w:val="0041682F"/>
    <w:rsid w:val="00420D4C"/>
    <w:rsid w:val="00421311"/>
    <w:rsid w:val="00427243"/>
    <w:rsid w:val="00431EBE"/>
    <w:rsid w:val="004335FB"/>
    <w:rsid w:val="004352E2"/>
    <w:rsid w:val="00435472"/>
    <w:rsid w:val="004354B8"/>
    <w:rsid w:val="004357BE"/>
    <w:rsid w:val="00436930"/>
    <w:rsid w:val="0043775A"/>
    <w:rsid w:val="00441A5F"/>
    <w:rsid w:val="004456F2"/>
    <w:rsid w:val="00445EF7"/>
    <w:rsid w:val="00447C21"/>
    <w:rsid w:val="00450361"/>
    <w:rsid w:val="00450BE7"/>
    <w:rsid w:val="00451A5A"/>
    <w:rsid w:val="00452553"/>
    <w:rsid w:val="00454369"/>
    <w:rsid w:val="00454DD7"/>
    <w:rsid w:val="00466909"/>
    <w:rsid w:val="00475865"/>
    <w:rsid w:val="00475DAF"/>
    <w:rsid w:val="00477707"/>
    <w:rsid w:val="00480B23"/>
    <w:rsid w:val="004825B7"/>
    <w:rsid w:val="00484455"/>
    <w:rsid w:val="00484838"/>
    <w:rsid w:val="004876E3"/>
    <w:rsid w:val="00487C04"/>
    <w:rsid w:val="0049184E"/>
    <w:rsid w:val="0049313D"/>
    <w:rsid w:val="00494F0C"/>
    <w:rsid w:val="00496596"/>
    <w:rsid w:val="004A00F8"/>
    <w:rsid w:val="004A04DD"/>
    <w:rsid w:val="004A3532"/>
    <w:rsid w:val="004A4154"/>
    <w:rsid w:val="004B4D55"/>
    <w:rsid w:val="004B5BEE"/>
    <w:rsid w:val="004C02F3"/>
    <w:rsid w:val="004C18ED"/>
    <w:rsid w:val="004C1C4F"/>
    <w:rsid w:val="004C290A"/>
    <w:rsid w:val="004C3AD4"/>
    <w:rsid w:val="004C66FE"/>
    <w:rsid w:val="004C7B3C"/>
    <w:rsid w:val="004D0E2A"/>
    <w:rsid w:val="004D0EF4"/>
    <w:rsid w:val="004D3638"/>
    <w:rsid w:val="004D68D0"/>
    <w:rsid w:val="004E061A"/>
    <w:rsid w:val="004E37C1"/>
    <w:rsid w:val="004E38C1"/>
    <w:rsid w:val="004E41E0"/>
    <w:rsid w:val="004E52BA"/>
    <w:rsid w:val="004E6F86"/>
    <w:rsid w:val="004F3769"/>
    <w:rsid w:val="004F52E2"/>
    <w:rsid w:val="004F5628"/>
    <w:rsid w:val="004F5808"/>
    <w:rsid w:val="004F6A03"/>
    <w:rsid w:val="00501864"/>
    <w:rsid w:val="00502537"/>
    <w:rsid w:val="00504134"/>
    <w:rsid w:val="00510F15"/>
    <w:rsid w:val="005116B1"/>
    <w:rsid w:val="0051799A"/>
    <w:rsid w:val="0052029F"/>
    <w:rsid w:val="00522E00"/>
    <w:rsid w:val="00524801"/>
    <w:rsid w:val="00525D27"/>
    <w:rsid w:val="00527684"/>
    <w:rsid w:val="00530AB3"/>
    <w:rsid w:val="00533DA6"/>
    <w:rsid w:val="00534E4A"/>
    <w:rsid w:val="00537BF6"/>
    <w:rsid w:val="00542A8E"/>
    <w:rsid w:val="00542E20"/>
    <w:rsid w:val="00543689"/>
    <w:rsid w:val="00543F96"/>
    <w:rsid w:val="00544286"/>
    <w:rsid w:val="00550D62"/>
    <w:rsid w:val="0055140A"/>
    <w:rsid w:val="005533E3"/>
    <w:rsid w:val="005537BE"/>
    <w:rsid w:val="005538D7"/>
    <w:rsid w:val="005561CB"/>
    <w:rsid w:val="0055793C"/>
    <w:rsid w:val="00560838"/>
    <w:rsid w:val="0056156B"/>
    <w:rsid w:val="00572F07"/>
    <w:rsid w:val="00573188"/>
    <w:rsid w:val="0057343E"/>
    <w:rsid w:val="00573D74"/>
    <w:rsid w:val="00574B7B"/>
    <w:rsid w:val="00575ACE"/>
    <w:rsid w:val="00576484"/>
    <w:rsid w:val="005772DA"/>
    <w:rsid w:val="00584031"/>
    <w:rsid w:val="005877EF"/>
    <w:rsid w:val="00587BE2"/>
    <w:rsid w:val="00590C4B"/>
    <w:rsid w:val="00591842"/>
    <w:rsid w:val="00591B5C"/>
    <w:rsid w:val="005945B6"/>
    <w:rsid w:val="005948A4"/>
    <w:rsid w:val="00594FB9"/>
    <w:rsid w:val="0059544D"/>
    <w:rsid w:val="00597AA7"/>
    <w:rsid w:val="005A0663"/>
    <w:rsid w:val="005A0A6D"/>
    <w:rsid w:val="005A1441"/>
    <w:rsid w:val="005A4161"/>
    <w:rsid w:val="005A5BF3"/>
    <w:rsid w:val="005B1172"/>
    <w:rsid w:val="005B131F"/>
    <w:rsid w:val="005B1D0C"/>
    <w:rsid w:val="005B4138"/>
    <w:rsid w:val="005B4290"/>
    <w:rsid w:val="005B72C6"/>
    <w:rsid w:val="005C54E7"/>
    <w:rsid w:val="005D47B5"/>
    <w:rsid w:val="005D4E5C"/>
    <w:rsid w:val="005D7771"/>
    <w:rsid w:val="005E2C66"/>
    <w:rsid w:val="005E3550"/>
    <w:rsid w:val="005E3B0D"/>
    <w:rsid w:val="005E4282"/>
    <w:rsid w:val="005E42A3"/>
    <w:rsid w:val="005F546F"/>
    <w:rsid w:val="005F661D"/>
    <w:rsid w:val="005F6AC0"/>
    <w:rsid w:val="005F6C23"/>
    <w:rsid w:val="005F6DBC"/>
    <w:rsid w:val="006008C0"/>
    <w:rsid w:val="00600D94"/>
    <w:rsid w:val="00601F0A"/>
    <w:rsid w:val="00603475"/>
    <w:rsid w:val="00603737"/>
    <w:rsid w:val="00603B9C"/>
    <w:rsid w:val="006065FB"/>
    <w:rsid w:val="006105AC"/>
    <w:rsid w:val="00615497"/>
    <w:rsid w:val="00615D85"/>
    <w:rsid w:val="00616F83"/>
    <w:rsid w:val="0061768D"/>
    <w:rsid w:val="00620446"/>
    <w:rsid w:val="00620881"/>
    <w:rsid w:val="00621A1B"/>
    <w:rsid w:val="00623E90"/>
    <w:rsid w:val="006253F8"/>
    <w:rsid w:val="0062717E"/>
    <w:rsid w:val="006326BD"/>
    <w:rsid w:val="00632C54"/>
    <w:rsid w:val="00633A55"/>
    <w:rsid w:val="00635ACC"/>
    <w:rsid w:val="00637559"/>
    <w:rsid w:val="006375D7"/>
    <w:rsid w:val="0064139C"/>
    <w:rsid w:val="00642082"/>
    <w:rsid w:val="006448B0"/>
    <w:rsid w:val="00646AB4"/>
    <w:rsid w:val="006475F4"/>
    <w:rsid w:val="00651C94"/>
    <w:rsid w:val="00652AA9"/>
    <w:rsid w:val="00653414"/>
    <w:rsid w:val="00653582"/>
    <w:rsid w:val="00657D53"/>
    <w:rsid w:val="00662CD5"/>
    <w:rsid w:val="00663D3D"/>
    <w:rsid w:val="006647A9"/>
    <w:rsid w:val="00664D4B"/>
    <w:rsid w:val="006661F3"/>
    <w:rsid w:val="006666BA"/>
    <w:rsid w:val="0067083C"/>
    <w:rsid w:val="00670968"/>
    <w:rsid w:val="006811EB"/>
    <w:rsid w:val="0068197A"/>
    <w:rsid w:val="006826F0"/>
    <w:rsid w:val="00683605"/>
    <w:rsid w:val="00683C5F"/>
    <w:rsid w:val="006842EB"/>
    <w:rsid w:val="006859EF"/>
    <w:rsid w:val="00687744"/>
    <w:rsid w:val="0069153F"/>
    <w:rsid w:val="00692CF1"/>
    <w:rsid w:val="0069359C"/>
    <w:rsid w:val="00693A90"/>
    <w:rsid w:val="00694879"/>
    <w:rsid w:val="00696348"/>
    <w:rsid w:val="00696530"/>
    <w:rsid w:val="00697BF8"/>
    <w:rsid w:val="006A21F6"/>
    <w:rsid w:val="006A2E97"/>
    <w:rsid w:val="006A3F66"/>
    <w:rsid w:val="006A4ACB"/>
    <w:rsid w:val="006A6DD2"/>
    <w:rsid w:val="006B2D80"/>
    <w:rsid w:val="006B39E5"/>
    <w:rsid w:val="006B666F"/>
    <w:rsid w:val="006B7F52"/>
    <w:rsid w:val="006C0559"/>
    <w:rsid w:val="006C45CE"/>
    <w:rsid w:val="006C55EF"/>
    <w:rsid w:val="006C7DC1"/>
    <w:rsid w:val="006D031B"/>
    <w:rsid w:val="006D08C0"/>
    <w:rsid w:val="006D1EEB"/>
    <w:rsid w:val="006D2CE0"/>
    <w:rsid w:val="006D44FE"/>
    <w:rsid w:val="006D5719"/>
    <w:rsid w:val="006D6CD6"/>
    <w:rsid w:val="006E0245"/>
    <w:rsid w:val="006E0F8D"/>
    <w:rsid w:val="006E461B"/>
    <w:rsid w:val="006E4C4A"/>
    <w:rsid w:val="006E6E7D"/>
    <w:rsid w:val="006E7DC4"/>
    <w:rsid w:val="006F1E4E"/>
    <w:rsid w:val="006F2B29"/>
    <w:rsid w:val="006F36DE"/>
    <w:rsid w:val="006F6563"/>
    <w:rsid w:val="006F672A"/>
    <w:rsid w:val="006F71A1"/>
    <w:rsid w:val="00702976"/>
    <w:rsid w:val="00704BF6"/>
    <w:rsid w:val="007053B9"/>
    <w:rsid w:val="00707E2B"/>
    <w:rsid w:val="00715CAC"/>
    <w:rsid w:val="00717459"/>
    <w:rsid w:val="00717FFC"/>
    <w:rsid w:val="0072060C"/>
    <w:rsid w:val="0072171A"/>
    <w:rsid w:val="00721F68"/>
    <w:rsid w:val="007242E8"/>
    <w:rsid w:val="00725EA7"/>
    <w:rsid w:val="00732331"/>
    <w:rsid w:val="0073423E"/>
    <w:rsid w:val="00734B32"/>
    <w:rsid w:val="00734B81"/>
    <w:rsid w:val="00736DEB"/>
    <w:rsid w:val="00741D85"/>
    <w:rsid w:val="00743F46"/>
    <w:rsid w:val="00754773"/>
    <w:rsid w:val="007561C7"/>
    <w:rsid w:val="00761714"/>
    <w:rsid w:val="007626A1"/>
    <w:rsid w:val="00764B3C"/>
    <w:rsid w:val="007658FE"/>
    <w:rsid w:val="00765AB0"/>
    <w:rsid w:val="00765EC3"/>
    <w:rsid w:val="00767355"/>
    <w:rsid w:val="00767626"/>
    <w:rsid w:val="00770BED"/>
    <w:rsid w:val="007745AE"/>
    <w:rsid w:val="007757D8"/>
    <w:rsid w:val="00782F42"/>
    <w:rsid w:val="00785766"/>
    <w:rsid w:val="0078707B"/>
    <w:rsid w:val="007878A1"/>
    <w:rsid w:val="007927FE"/>
    <w:rsid w:val="00792FC1"/>
    <w:rsid w:val="00794A65"/>
    <w:rsid w:val="00795054"/>
    <w:rsid w:val="007952AB"/>
    <w:rsid w:val="00795AA8"/>
    <w:rsid w:val="007A051A"/>
    <w:rsid w:val="007A2A11"/>
    <w:rsid w:val="007A301C"/>
    <w:rsid w:val="007A32D7"/>
    <w:rsid w:val="007B35CD"/>
    <w:rsid w:val="007B5243"/>
    <w:rsid w:val="007B5C80"/>
    <w:rsid w:val="007B7BB1"/>
    <w:rsid w:val="007C1DA8"/>
    <w:rsid w:val="007C3055"/>
    <w:rsid w:val="007C5DE0"/>
    <w:rsid w:val="007C74E6"/>
    <w:rsid w:val="007C7A3A"/>
    <w:rsid w:val="007D2920"/>
    <w:rsid w:val="007D36EE"/>
    <w:rsid w:val="007E0CCA"/>
    <w:rsid w:val="007E2953"/>
    <w:rsid w:val="007E3D81"/>
    <w:rsid w:val="007E6554"/>
    <w:rsid w:val="007E741F"/>
    <w:rsid w:val="007F45C6"/>
    <w:rsid w:val="007F578C"/>
    <w:rsid w:val="007F6529"/>
    <w:rsid w:val="00802020"/>
    <w:rsid w:val="008023CA"/>
    <w:rsid w:val="00803151"/>
    <w:rsid w:val="00804B9E"/>
    <w:rsid w:val="00805386"/>
    <w:rsid w:val="00805B4F"/>
    <w:rsid w:val="00806691"/>
    <w:rsid w:val="00806AB2"/>
    <w:rsid w:val="008075D8"/>
    <w:rsid w:val="00807F6A"/>
    <w:rsid w:val="0081198D"/>
    <w:rsid w:val="00811F7D"/>
    <w:rsid w:val="00812D39"/>
    <w:rsid w:val="00813EE8"/>
    <w:rsid w:val="008147AE"/>
    <w:rsid w:val="00817C62"/>
    <w:rsid w:val="00822DC0"/>
    <w:rsid w:val="00823B68"/>
    <w:rsid w:val="00825B7C"/>
    <w:rsid w:val="0082724A"/>
    <w:rsid w:val="00827399"/>
    <w:rsid w:val="00830174"/>
    <w:rsid w:val="008304C9"/>
    <w:rsid w:val="00831E90"/>
    <w:rsid w:val="008361D4"/>
    <w:rsid w:val="008424A0"/>
    <w:rsid w:val="008479FC"/>
    <w:rsid w:val="00850536"/>
    <w:rsid w:val="00860F4F"/>
    <w:rsid w:val="008621D5"/>
    <w:rsid w:val="00862428"/>
    <w:rsid w:val="0086680A"/>
    <w:rsid w:val="00867504"/>
    <w:rsid w:val="0087121D"/>
    <w:rsid w:val="008718FC"/>
    <w:rsid w:val="00872B3F"/>
    <w:rsid w:val="008733F2"/>
    <w:rsid w:val="00873A96"/>
    <w:rsid w:val="00873C1C"/>
    <w:rsid w:val="00876818"/>
    <w:rsid w:val="00880C74"/>
    <w:rsid w:val="00883462"/>
    <w:rsid w:val="00883C6F"/>
    <w:rsid w:val="00883F4F"/>
    <w:rsid w:val="00884EF7"/>
    <w:rsid w:val="008852F9"/>
    <w:rsid w:val="008854B5"/>
    <w:rsid w:val="0088593D"/>
    <w:rsid w:val="008907D8"/>
    <w:rsid w:val="00891AA3"/>
    <w:rsid w:val="008A077C"/>
    <w:rsid w:val="008A0C14"/>
    <w:rsid w:val="008A24E6"/>
    <w:rsid w:val="008A366D"/>
    <w:rsid w:val="008A753A"/>
    <w:rsid w:val="008B108B"/>
    <w:rsid w:val="008B5122"/>
    <w:rsid w:val="008B6104"/>
    <w:rsid w:val="008B718D"/>
    <w:rsid w:val="008C0E30"/>
    <w:rsid w:val="008C0F4F"/>
    <w:rsid w:val="008C65E6"/>
    <w:rsid w:val="008C733F"/>
    <w:rsid w:val="008D6B95"/>
    <w:rsid w:val="008D6E4D"/>
    <w:rsid w:val="008D6EC6"/>
    <w:rsid w:val="008D6F6D"/>
    <w:rsid w:val="008E189E"/>
    <w:rsid w:val="008E2755"/>
    <w:rsid w:val="008E3339"/>
    <w:rsid w:val="008E5AB7"/>
    <w:rsid w:val="008E60A4"/>
    <w:rsid w:val="008E61C3"/>
    <w:rsid w:val="008E7A0D"/>
    <w:rsid w:val="008F04FF"/>
    <w:rsid w:val="008F1089"/>
    <w:rsid w:val="008F2788"/>
    <w:rsid w:val="008F5A89"/>
    <w:rsid w:val="008F7CA0"/>
    <w:rsid w:val="009012D9"/>
    <w:rsid w:val="0090239A"/>
    <w:rsid w:val="0090392B"/>
    <w:rsid w:val="00906927"/>
    <w:rsid w:val="0090727A"/>
    <w:rsid w:val="009101EB"/>
    <w:rsid w:val="00912E46"/>
    <w:rsid w:val="0092003C"/>
    <w:rsid w:val="0092015B"/>
    <w:rsid w:val="009211DE"/>
    <w:rsid w:val="00921C31"/>
    <w:rsid w:val="00923BFC"/>
    <w:rsid w:val="0092512E"/>
    <w:rsid w:val="00925666"/>
    <w:rsid w:val="009258B0"/>
    <w:rsid w:val="0092650A"/>
    <w:rsid w:val="0093306F"/>
    <w:rsid w:val="0093329A"/>
    <w:rsid w:val="00933E5F"/>
    <w:rsid w:val="00940123"/>
    <w:rsid w:val="00940523"/>
    <w:rsid w:val="0094167F"/>
    <w:rsid w:val="00942080"/>
    <w:rsid w:val="0094232F"/>
    <w:rsid w:val="00943608"/>
    <w:rsid w:val="00943E25"/>
    <w:rsid w:val="00945467"/>
    <w:rsid w:val="00952255"/>
    <w:rsid w:val="009530D1"/>
    <w:rsid w:val="00956C94"/>
    <w:rsid w:val="009620A2"/>
    <w:rsid w:val="00965EF6"/>
    <w:rsid w:val="0097067A"/>
    <w:rsid w:val="009724E9"/>
    <w:rsid w:val="009753F0"/>
    <w:rsid w:val="00975D1E"/>
    <w:rsid w:val="00977EFB"/>
    <w:rsid w:val="00982488"/>
    <w:rsid w:val="009826F2"/>
    <w:rsid w:val="00982D1D"/>
    <w:rsid w:val="00990436"/>
    <w:rsid w:val="00991AC3"/>
    <w:rsid w:val="009933FB"/>
    <w:rsid w:val="00993F4B"/>
    <w:rsid w:val="00993FC5"/>
    <w:rsid w:val="009942D9"/>
    <w:rsid w:val="0099493A"/>
    <w:rsid w:val="009A28FB"/>
    <w:rsid w:val="009A2FCD"/>
    <w:rsid w:val="009A6538"/>
    <w:rsid w:val="009A70F8"/>
    <w:rsid w:val="009B0946"/>
    <w:rsid w:val="009B16BF"/>
    <w:rsid w:val="009B1FE1"/>
    <w:rsid w:val="009B4407"/>
    <w:rsid w:val="009B530F"/>
    <w:rsid w:val="009B5409"/>
    <w:rsid w:val="009B5B70"/>
    <w:rsid w:val="009B6427"/>
    <w:rsid w:val="009B6F7F"/>
    <w:rsid w:val="009B76DE"/>
    <w:rsid w:val="009B7771"/>
    <w:rsid w:val="009B7802"/>
    <w:rsid w:val="009B7A2A"/>
    <w:rsid w:val="009C052C"/>
    <w:rsid w:val="009C0EA0"/>
    <w:rsid w:val="009C33FB"/>
    <w:rsid w:val="009C36C6"/>
    <w:rsid w:val="009C51BE"/>
    <w:rsid w:val="009C5FDB"/>
    <w:rsid w:val="009C75EF"/>
    <w:rsid w:val="009D4023"/>
    <w:rsid w:val="009D4737"/>
    <w:rsid w:val="009D76E4"/>
    <w:rsid w:val="009E1C3F"/>
    <w:rsid w:val="009E4E90"/>
    <w:rsid w:val="009E4EA7"/>
    <w:rsid w:val="009E5E54"/>
    <w:rsid w:val="009E622D"/>
    <w:rsid w:val="009F01B4"/>
    <w:rsid w:val="009F07EE"/>
    <w:rsid w:val="009F0A95"/>
    <w:rsid w:val="009F2521"/>
    <w:rsid w:val="009F2D07"/>
    <w:rsid w:val="009F38B9"/>
    <w:rsid w:val="009F5DA9"/>
    <w:rsid w:val="009F7C87"/>
    <w:rsid w:val="00A0247F"/>
    <w:rsid w:val="00A0283E"/>
    <w:rsid w:val="00A034D2"/>
    <w:rsid w:val="00A0390C"/>
    <w:rsid w:val="00A053D9"/>
    <w:rsid w:val="00A05B56"/>
    <w:rsid w:val="00A12E6A"/>
    <w:rsid w:val="00A17EDD"/>
    <w:rsid w:val="00A235F2"/>
    <w:rsid w:val="00A240C6"/>
    <w:rsid w:val="00A24BBD"/>
    <w:rsid w:val="00A261B1"/>
    <w:rsid w:val="00A30380"/>
    <w:rsid w:val="00A345A5"/>
    <w:rsid w:val="00A35EA2"/>
    <w:rsid w:val="00A36535"/>
    <w:rsid w:val="00A37004"/>
    <w:rsid w:val="00A41486"/>
    <w:rsid w:val="00A42743"/>
    <w:rsid w:val="00A429C8"/>
    <w:rsid w:val="00A43E8F"/>
    <w:rsid w:val="00A45431"/>
    <w:rsid w:val="00A5049F"/>
    <w:rsid w:val="00A5082E"/>
    <w:rsid w:val="00A51B6A"/>
    <w:rsid w:val="00A53249"/>
    <w:rsid w:val="00A55A19"/>
    <w:rsid w:val="00A5670C"/>
    <w:rsid w:val="00A6011B"/>
    <w:rsid w:val="00A604E3"/>
    <w:rsid w:val="00A6409D"/>
    <w:rsid w:val="00A660A2"/>
    <w:rsid w:val="00A664CA"/>
    <w:rsid w:val="00A6673D"/>
    <w:rsid w:val="00A67881"/>
    <w:rsid w:val="00A701D7"/>
    <w:rsid w:val="00A714CA"/>
    <w:rsid w:val="00A71F8F"/>
    <w:rsid w:val="00A723B1"/>
    <w:rsid w:val="00A72EAD"/>
    <w:rsid w:val="00A75B24"/>
    <w:rsid w:val="00A76F78"/>
    <w:rsid w:val="00A819A7"/>
    <w:rsid w:val="00A87440"/>
    <w:rsid w:val="00A90798"/>
    <w:rsid w:val="00A90D77"/>
    <w:rsid w:val="00A91927"/>
    <w:rsid w:val="00A92E63"/>
    <w:rsid w:val="00A93177"/>
    <w:rsid w:val="00A931B7"/>
    <w:rsid w:val="00A94690"/>
    <w:rsid w:val="00AA2EBC"/>
    <w:rsid w:val="00AA36AD"/>
    <w:rsid w:val="00AA42BA"/>
    <w:rsid w:val="00AA557D"/>
    <w:rsid w:val="00AA6C06"/>
    <w:rsid w:val="00AB28BD"/>
    <w:rsid w:val="00AB3652"/>
    <w:rsid w:val="00AC410F"/>
    <w:rsid w:val="00AC7500"/>
    <w:rsid w:val="00AC7DDE"/>
    <w:rsid w:val="00AD3C08"/>
    <w:rsid w:val="00AD426A"/>
    <w:rsid w:val="00AD4280"/>
    <w:rsid w:val="00AD486C"/>
    <w:rsid w:val="00AD4DFD"/>
    <w:rsid w:val="00AD50D7"/>
    <w:rsid w:val="00AD52C4"/>
    <w:rsid w:val="00AD53AE"/>
    <w:rsid w:val="00AD6DF7"/>
    <w:rsid w:val="00AE06A2"/>
    <w:rsid w:val="00AE18D1"/>
    <w:rsid w:val="00AE1A04"/>
    <w:rsid w:val="00AE38AB"/>
    <w:rsid w:val="00AE3C2E"/>
    <w:rsid w:val="00AF158E"/>
    <w:rsid w:val="00AF29C9"/>
    <w:rsid w:val="00AF3346"/>
    <w:rsid w:val="00AF3697"/>
    <w:rsid w:val="00AF4281"/>
    <w:rsid w:val="00AF6606"/>
    <w:rsid w:val="00AF72A4"/>
    <w:rsid w:val="00B01246"/>
    <w:rsid w:val="00B02EC2"/>
    <w:rsid w:val="00B03357"/>
    <w:rsid w:val="00B15798"/>
    <w:rsid w:val="00B16838"/>
    <w:rsid w:val="00B21C3A"/>
    <w:rsid w:val="00B22F15"/>
    <w:rsid w:val="00B2358E"/>
    <w:rsid w:val="00B23D71"/>
    <w:rsid w:val="00B2474C"/>
    <w:rsid w:val="00B27696"/>
    <w:rsid w:val="00B312E3"/>
    <w:rsid w:val="00B32F67"/>
    <w:rsid w:val="00B3654B"/>
    <w:rsid w:val="00B37E18"/>
    <w:rsid w:val="00B40D46"/>
    <w:rsid w:val="00B419C9"/>
    <w:rsid w:val="00B4462D"/>
    <w:rsid w:val="00B44D1E"/>
    <w:rsid w:val="00B45760"/>
    <w:rsid w:val="00B45E66"/>
    <w:rsid w:val="00B50C17"/>
    <w:rsid w:val="00B529BA"/>
    <w:rsid w:val="00B52BD9"/>
    <w:rsid w:val="00B54C78"/>
    <w:rsid w:val="00B62963"/>
    <w:rsid w:val="00B6329D"/>
    <w:rsid w:val="00B63DB7"/>
    <w:rsid w:val="00B6430E"/>
    <w:rsid w:val="00B67973"/>
    <w:rsid w:val="00B72D49"/>
    <w:rsid w:val="00B760AD"/>
    <w:rsid w:val="00B817FC"/>
    <w:rsid w:val="00B83BF1"/>
    <w:rsid w:val="00B86DF4"/>
    <w:rsid w:val="00B870B7"/>
    <w:rsid w:val="00B9098A"/>
    <w:rsid w:val="00B933E5"/>
    <w:rsid w:val="00B952F7"/>
    <w:rsid w:val="00B9735D"/>
    <w:rsid w:val="00BA0831"/>
    <w:rsid w:val="00BA157C"/>
    <w:rsid w:val="00BA30D7"/>
    <w:rsid w:val="00BA46AD"/>
    <w:rsid w:val="00BA48DC"/>
    <w:rsid w:val="00BA5654"/>
    <w:rsid w:val="00BA5D7E"/>
    <w:rsid w:val="00BA5F96"/>
    <w:rsid w:val="00BA69AC"/>
    <w:rsid w:val="00BB0E92"/>
    <w:rsid w:val="00BB1897"/>
    <w:rsid w:val="00BB51AE"/>
    <w:rsid w:val="00BC12B6"/>
    <w:rsid w:val="00BC141B"/>
    <w:rsid w:val="00BC1E87"/>
    <w:rsid w:val="00BC1FA3"/>
    <w:rsid w:val="00BC4C9B"/>
    <w:rsid w:val="00BC6B95"/>
    <w:rsid w:val="00BD1F27"/>
    <w:rsid w:val="00BD243C"/>
    <w:rsid w:val="00BD35B5"/>
    <w:rsid w:val="00BD4C2B"/>
    <w:rsid w:val="00BD5241"/>
    <w:rsid w:val="00BD638E"/>
    <w:rsid w:val="00BD63B8"/>
    <w:rsid w:val="00BD72B2"/>
    <w:rsid w:val="00BE1784"/>
    <w:rsid w:val="00BF01CA"/>
    <w:rsid w:val="00BF065D"/>
    <w:rsid w:val="00BF08A6"/>
    <w:rsid w:val="00BF1DEE"/>
    <w:rsid w:val="00BF2B8F"/>
    <w:rsid w:val="00BF36FE"/>
    <w:rsid w:val="00BF4C3D"/>
    <w:rsid w:val="00BF4F3D"/>
    <w:rsid w:val="00BF6CF0"/>
    <w:rsid w:val="00C045DE"/>
    <w:rsid w:val="00C059F7"/>
    <w:rsid w:val="00C06A62"/>
    <w:rsid w:val="00C0789F"/>
    <w:rsid w:val="00C10C0C"/>
    <w:rsid w:val="00C150C9"/>
    <w:rsid w:val="00C17486"/>
    <w:rsid w:val="00C2125E"/>
    <w:rsid w:val="00C21B07"/>
    <w:rsid w:val="00C23D2C"/>
    <w:rsid w:val="00C251D0"/>
    <w:rsid w:val="00C25434"/>
    <w:rsid w:val="00C321B2"/>
    <w:rsid w:val="00C325FA"/>
    <w:rsid w:val="00C34947"/>
    <w:rsid w:val="00C4100E"/>
    <w:rsid w:val="00C44F97"/>
    <w:rsid w:val="00C509C5"/>
    <w:rsid w:val="00C566CC"/>
    <w:rsid w:val="00C572AA"/>
    <w:rsid w:val="00C57AB3"/>
    <w:rsid w:val="00C621CC"/>
    <w:rsid w:val="00C6256A"/>
    <w:rsid w:val="00C62D15"/>
    <w:rsid w:val="00C62EF5"/>
    <w:rsid w:val="00C654EB"/>
    <w:rsid w:val="00C6567F"/>
    <w:rsid w:val="00C71C10"/>
    <w:rsid w:val="00C756ED"/>
    <w:rsid w:val="00C767C0"/>
    <w:rsid w:val="00C769ED"/>
    <w:rsid w:val="00C77086"/>
    <w:rsid w:val="00C77D1C"/>
    <w:rsid w:val="00C800E0"/>
    <w:rsid w:val="00C81791"/>
    <w:rsid w:val="00C8180A"/>
    <w:rsid w:val="00C8393A"/>
    <w:rsid w:val="00C86159"/>
    <w:rsid w:val="00C87769"/>
    <w:rsid w:val="00C9090D"/>
    <w:rsid w:val="00C91FE8"/>
    <w:rsid w:val="00C92955"/>
    <w:rsid w:val="00C929DB"/>
    <w:rsid w:val="00C935EF"/>
    <w:rsid w:val="00C956B4"/>
    <w:rsid w:val="00C95957"/>
    <w:rsid w:val="00C95C1E"/>
    <w:rsid w:val="00C968A6"/>
    <w:rsid w:val="00CA0919"/>
    <w:rsid w:val="00CA3026"/>
    <w:rsid w:val="00CA5DC7"/>
    <w:rsid w:val="00CA61A8"/>
    <w:rsid w:val="00CA6FC2"/>
    <w:rsid w:val="00CA7DE8"/>
    <w:rsid w:val="00CB0360"/>
    <w:rsid w:val="00CB33F0"/>
    <w:rsid w:val="00CB43FA"/>
    <w:rsid w:val="00CB467C"/>
    <w:rsid w:val="00CB524E"/>
    <w:rsid w:val="00CB608C"/>
    <w:rsid w:val="00CC04DB"/>
    <w:rsid w:val="00CC3D05"/>
    <w:rsid w:val="00CC4429"/>
    <w:rsid w:val="00CC573D"/>
    <w:rsid w:val="00CC6756"/>
    <w:rsid w:val="00CD0A04"/>
    <w:rsid w:val="00CD241A"/>
    <w:rsid w:val="00CD322E"/>
    <w:rsid w:val="00CD45BD"/>
    <w:rsid w:val="00CD5597"/>
    <w:rsid w:val="00CD6757"/>
    <w:rsid w:val="00CE0902"/>
    <w:rsid w:val="00CE1DE1"/>
    <w:rsid w:val="00CE3278"/>
    <w:rsid w:val="00CE3558"/>
    <w:rsid w:val="00CE3DB0"/>
    <w:rsid w:val="00CE548A"/>
    <w:rsid w:val="00CE6DAD"/>
    <w:rsid w:val="00CF03E4"/>
    <w:rsid w:val="00CF2863"/>
    <w:rsid w:val="00CF4E2E"/>
    <w:rsid w:val="00CF661C"/>
    <w:rsid w:val="00CF7526"/>
    <w:rsid w:val="00CF78F1"/>
    <w:rsid w:val="00D00DD3"/>
    <w:rsid w:val="00D02179"/>
    <w:rsid w:val="00D032D1"/>
    <w:rsid w:val="00D04C25"/>
    <w:rsid w:val="00D05A48"/>
    <w:rsid w:val="00D05F50"/>
    <w:rsid w:val="00D111B7"/>
    <w:rsid w:val="00D16EDF"/>
    <w:rsid w:val="00D17A6A"/>
    <w:rsid w:val="00D21390"/>
    <w:rsid w:val="00D252C0"/>
    <w:rsid w:val="00D25C93"/>
    <w:rsid w:val="00D26590"/>
    <w:rsid w:val="00D2709E"/>
    <w:rsid w:val="00D30DAC"/>
    <w:rsid w:val="00D3329A"/>
    <w:rsid w:val="00D36688"/>
    <w:rsid w:val="00D376A0"/>
    <w:rsid w:val="00D40821"/>
    <w:rsid w:val="00D411C0"/>
    <w:rsid w:val="00D41AD4"/>
    <w:rsid w:val="00D421EC"/>
    <w:rsid w:val="00D43438"/>
    <w:rsid w:val="00D43D56"/>
    <w:rsid w:val="00D44C95"/>
    <w:rsid w:val="00D45A42"/>
    <w:rsid w:val="00D4678A"/>
    <w:rsid w:val="00D51922"/>
    <w:rsid w:val="00D52B61"/>
    <w:rsid w:val="00D52E30"/>
    <w:rsid w:val="00D600B5"/>
    <w:rsid w:val="00D60A08"/>
    <w:rsid w:val="00D612CC"/>
    <w:rsid w:val="00D62F08"/>
    <w:rsid w:val="00D64DC5"/>
    <w:rsid w:val="00D743BD"/>
    <w:rsid w:val="00D7639F"/>
    <w:rsid w:val="00D7653F"/>
    <w:rsid w:val="00D76975"/>
    <w:rsid w:val="00D77F8F"/>
    <w:rsid w:val="00D808FF"/>
    <w:rsid w:val="00D81DEF"/>
    <w:rsid w:val="00D908AE"/>
    <w:rsid w:val="00D957A2"/>
    <w:rsid w:val="00D97074"/>
    <w:rsid w:val="00D97229"/>
    <w:rsid w:val="00D9726A"/>
    <w:rsid w:val="00DA0291"/>
    <w:rsid w:val="00DA1051"/>
    <w:rsid w:val="00DA1318"/>
    <w:rsid w:val="00DA22BF"/>
    <w:rsid w:val="00DA3F50"/>
    <w:rsid w:val="00DA484A"/>
    <w:rsid w:val="00DA68F7"/>
    <w:rsid w:val="00DB2945"/>
    <w:rsid w:val="00DB2FE9"/>
    <w:rsid w:val="00DB5A9F"/>
    <w:rsid w:val="00DC06F9"/>
    <w:rsid w:val="00DC1F82"/>
    <w:rsid w:val="00DC38C2"/>
    <w:rsid w:val="00DC7170"/>
    <w:rsid w:val="00DD0819"/>
    <w:rsid w:val="00DD0A39"/>
    <w:rsid w:val="00DD1CCF"/>
    <w:rsid w:val="00DD310C"/>
    <w:rsid w:val="00DD53B8"/>
    <w:rsid w:val="00DD5C30"/>
    <w:rsid w:val="00DE0B1C"/>
    <w:rsid w:val="00DE0E44"/>
    <w:rsid w:val="00DE1FFC"/>
    <w:rsid w:val="00DE4F3D"/>
    <w:rsid w:val="00DE55FE"/>
    <w:rsid w:val="00DE567E"/>
    <w:rsid w:val="00DE6802"/>
    <w:rsid w:val="00DF2CDE"/>
    <w:rsid w:val="00DF3F80"/>
    <w:rsid w:val="00E0034B"/>
    <w:rsid w:val="00E00946"/>
    <w:rsid w:val="00E00C0F"/>
    <w:rsid w:val="00E00E57"/>
    <w:rsid w:val="00E0114F"/>
    <w:rsid w:val="00E01CBF"/>
    <w:rsid w:val="00E03C2E"/>
    <w:rsid w:val="00E0618E"/>
    <w:rsid w:val="00E06D4F"/>
    <w:rsid w:val="00E1134F"/>
    <w:rsid w:val="00E14AC0"/>
    <w:rsid w:val="00E15263"/>
    <w:rsid w:val="00E1545C"/>
    <w:rsid w:val="00E164DF"/>
    <w:rsid w:val="00E202A1"/>
    <w:rsid w:val="00E20C68"/>
    <w:rsid w:val="00E20D0C"/>
    <w:rsid w:val="00E21026"/>
    <w:rsid w:val="00E21517"/>
    <w:rsid w:val="00E22B12"/>
    <w:rsid w:val="00E23E73"/>
    <w:rsid w:val="00E25AB6"/>
    <w:rsid w:val="00E30119"/>
    <w:rsid w:val="00E310CC"/>
    <w:rsid w:val="00E31468"/>
    <w:rsid w:val="00E31E83"/>
    <w:rsid w:val="00E32006"/>
    <w:rsid w:val="00E360BD"/>
    <w:rsid w:val="00E42271"/>
    <w:rsid w:val="00E42C44"/>
    <w:rsid w:val="00E45736"/>
    <w:rsid w:val="00E45A73"/>
    <w:rsid w:val="00E45B6F"/>
    <w:rsid w:val="00E463C4"/>
    <w:rsid w:val="00E47678"/>
    <w:rsid w:val="00E52317"/>
    <w:rsid w:val="00E52B96"/>
    <w:rsid w:val="00E53979"/>
    <w:rsid w:val="00E54461"/>
    <w:rsid w:val="00E54476"/>
    <w:rsid w:val="00E544D6"/>
    <w:rsid w:val="00E56F79"/>
    <w:rsid w:val="00E5758F"/>
    <w:rsid w:val="00E57FC9"/>
    <w:rsid w:val="00E60431"/>
    <w:rsid w:val="00E60C37"/>
    <w:rsid w:val="00E62D12"/>
    <w:rsid w:val="00E65CFE"/>
    <w:rsid w:val="00E66B73"/>
    <w:rsid w:val="00E6730A"/>
    <w:rsid w:val="00E70467"/>
    <w:rsid w:val="00E71BA0"/>
    <w:rsid w:val="00E74D76"/>
    <w:rsid w:val="00E77590"/>
    <w:rsid w:val="00E77C69"/>
    <w:rsid w:val="00E801FD"/>
    <w:rsid w:val="00E83832"/>
    <w:rsid w:val="00E84F1E"/>
    <w:rsid w:val="00E875FB"/>
    <w:rsid w:val="00E912B8"/>
    <w:rsid w:val="00E92D8C"/>
    <w:rsid w:val="00E95209"/>
    <w:rsid w:val="00E976E7"/>
    <w:rsid w:val="00EA138E"/>
    <w:rsid w:val="00EA1AA4"/>
    <w:rsid w:val="00EA2162"/>
    <w:rsid w:val="00EA225D"/>
    <w:rsid w:val="00EA303A"/>
    <w:rsid w:val="00EA64D5"/>
    <w:rsid w:val="00EB1098"/>
    <w:rsid w:val="00EB2184"/>
    <w:rsid w:val="00EB21FE"/>
    <w:rsid w:val="00EB5517"/>
    <w:rsid w:val="00EB58C3"/>
    <w:rsid w:val="00EC0284"/>
    <w:rsid w:val="00EC70EC"/>
    <w:rsid w:val="00EC792B"/>
    <w:rsid w:val="00ED67D2"/>
    <w:rsid w:val="00ED6ABA"/>
    <w:rsid w:val="00ED6D6F"/>
    <w:rsid w:val="00ED6F93"/>
    <w:rsid w:val="00EE0F35"/>
    <w:rsid w:val="00EE26F8"/>
    <w:rsid w:val="00EE3606"/>
    <w:rsid w:val="00EE40CB"/>
    <w:rsid w:val="00EE676C"/>
    <w:rsid w:val="00EE7115"/>
    <w:rsid w:val="00EF4BFB"/>
    <w:rsid w:val="00EF6B8E"/>
    <w:rsid w:val="00EF738F"/>
    <w:rsid w:val="00EF7FBE"/>
    <w:rsid w:val="00F01E76"/>
    <w:rsid w:val="00F02D93"/>
    <w:rsid w:val="00F0465A"/>
    <w:rsid w:val="00F103B6"/>
    <w:rsid w:val="00F108C6"/>
    <w:rsid w:val="00F10B8A"/>
    <w:rsid w:val="00F1198A"/>
    <w:rsid w:val="00F15645"/>
    <w:rsid w:val="00F16E18"/>
    <w:rsid w:val="00F16FB1"/>
    <w:rsid w:val="00F17C13"/>
    <w:rsid w:val="00F20485"/>
    <w:rsid w:val="00F223AD"/>
    <w:rsid w:val="00F24072"/>
    <w:rsid w:val="00F24B34"/>
    <w:rsid w:val="00F25C9C"/>
    <w:rsid w:val="00F2711C"/>
    <w:rsid w:val="00F30DB7"/>
    <w:rsid w:val="00F32724"/>
    <w:rsid w:val="00F332C0"/>
    <w:rsid w:val="00F33A9C"/>
    <w:rsid w:val="00F34F6E"/>
    <w:rsid w:val="00F3762A"/>
    <w:rsid w:val="00F37885"/>
    <w:rsid w:val="00F40BB3"/>
    <w:rsid w:val="00F42854"/>
    <w:rsid w:val="00F43580"/>
    <w:rsid w:val="00F43665"/>
    <w:rsid w:val="00F43B75"/>
    <w:rsid w:val="00F457CD"/>
    <w:rsid w:val="00F46D97"/>
    <w:rsid w:val="00F50F05"/>
    <w:rsid w:val="00F51C12"/>
    <w:rsid w:val="00F51E21"/>
    <w:rsid w:val="00F54858"/>
    <w:rsid w:val="00F562FA"/>
    <w:rsid w:val="00F5659A"/>
    <w:rsid w:val="00F57F71"/>
    <w:rsid w:val="00F60F10"/>
    <w:rsid w:val="00F63A9A"/>
    <w:rsid w:val="00F651E2"/>
    <w:rsid w:val="00F65E3B"/>
    <w:rsid w:val="00F771EA"/>
    <w:rsid w:val="00F77A36"/>
    <w:rsid w:val="00F83B7E"/>
    <w:rsid w:val="00F83C2B"/>
    <w:rsid w:val="00F846D7"/>
    <w:rsid w:val="00F86715"/>
    <w:rsid w:val="00F8696A"/>
    <w:rsid w:val="00F86A94"/>
    <w:rsid w:val="00F86AA5"/>
    <w:rsid w:val="00F927C2"/>
    <w:rsid w:val="00F9471D"/>
    <w:rsid w:val="00F95151"/>
    <w:rsid w:val="00F96632"/>
    <w:rsid w:val="00FA1149"/>
    <w:rsid w:val="00FA2AC3"/>
    <w:rsid w:val="00FA3079"/>
    <w:rsid w:val="00FA376C"/>
    <w:rsid w:val="00FA471D"/>
    <w:rsid w:val="00FA4EE7"/>
    <w:rsid w:val="00FA6DA9"/>
    <w:rsid w:val="00FA7274"/>
    <w:rsid w:val="00FA72B1"/>
    <w:rsid w:val="00FB1A49"/>
    <w:rsid w:val="00FB2B15"/>
    <w:rsid w:val="00FB2E27"/>
    <w:rsid w:val="00FB4BA0"/>
    <w:rsid w:val="00FB5FFA"/>
    <w:rsid w:val="00FB6E0F"/>
    <w:rsid w:val="00FC7256"/>
    <w:rsid w:val="00FD1786"/>
    <w:rsid w:val="00FD300E"/>
    <w:rsid w:val="00FD3F28"/>
    <w:rsid w:val="00FD4E26"/>
    <w:rsid w:val="00FE4538"/>
    <w:rsid w:val="00FE4B17"/>
    <w:rsid w:val="00FE70BB"/>
    <w:rsid w:val="00FF0350"/>
    <w:rsid w:val="00FF0550"/>
    <w:rsid w:val="00FF0BC6"/>
    <w:rsid w:val="00FF1344"/>
    <w:rsid w:val="00FF3A7B"/>
    <w:rsid w:val="059E178F"/>
    <w:rsid w:val="0CFD1941"/>
    <w:rsid w:val="1EA1566F"/>
    <w:rsid w:val="213540C4"/>
    <w:rsid w:val="37D01F69"/>
    <w:rsid w:val="3D036217"/>
    <w:rsid w:val="481B2DA5"/>
    <w:rsid w:val="48C45466"/>
    <w:rsid w:val="6949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1F5F"/>
  <w15:docId w15:val="{1725A642-E35A-4034-88BE-17F77F70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</dc:creator>
  <cp:lastModifiedBy>PTA Padang</cp:lastModifiedBy>
  <cp:revision>48</cp:revision>
  <cp:lastPrinted>2024-02-27T09:23:00Z</cp:lastPrinted>
  <dcterms:created xsi:type="dcterms:W3CDTF">2012-03-15T06:40:00Z</dcterms:created>
  <dcterms:modified xsi:type="dcterms:W3CDTF">2025-01-09T03:41:00Z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420480C3DD1F46D1935AE3F82E1B8913</vt:lpwstr>
  </property>
</Properties>
</file>