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515AE6EB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E548E5">
        <w:rPr>
          <w:rFonts w:ascii="Bookman Old Style" w:hAnsi="Bookman Old Style"/>
          <w:bCs/>
        </w:rPr>
        <w:t xml:space="preserve"> 3320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</w:t>
      </w:r>
      <w:r w:rsidR="009B203E">
        <w:rPr>
          <w:rFonts w:ascii="Bookman Old Style" w:hAnsi="Bookman Old Style"/>
          <w:bCs/>
        </w:rPr>
        <w:t>X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37BA852" w14:textId="748E9B06" w:rsidR="00EE5DCE" w:rsidRPr="00E02D24" w:rsidRDefault="00422CD3" w:rsidP="00723EB7">
      <w:pPr>
        <w:tabs>
          <w:tab w:val="left" w:pos="1498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Pengadilan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Tinggi Agama </w:t>
      </w:r>
      <w:proofErr w:type="spellStart"/>
      <w:r w:rsidR="00723EB7">
        <w:rPr>
          <w:rFonts w:ascii="Bookman Old Style" w:hAnsi="Bookman Old Style"/>
          <w:sz w:val="22"/>
          <w:szCs w:val="22"/>
        </w:rPr>
        <w:t>Pekanbaru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akan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mengadakan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pelantikan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Ketua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Pengadilan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Agama di wilayah </w:t>
      </w:r>
      <w:proofErr w:type="spellStart"/>
      <w:r w:rsidR="00723EB7">
        <w:rPr>
          <w:rFonts w:ascii="Bookman Old Style" w:hAnsi="Bookman Old Style"/>
          <w:sz w:val="22"/>
          <w:szCs w:val="22"/>
        </w:rPr>
        <w:t>hukum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Pengadilan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Tinggi Agama </w:t>
      </w:r>
      <w:proofErr w:type="spellStart"/>
      <w:r w:rsidR="00723EB7">
        <w:rPr>
          <w:rFonts w:ascii="Bookman Old Style" w:hAnsi="Bookman Old Style"/>
          <w:sz w:val="22"/>
          <w:szCs w:val="22"/>
        </w:rPr>
        <w:t>Pekanbaru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antara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lain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Ketua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 </w:t>
      </w:r>
      <w:r w:rsidR="009B203E">
        <w:rPr>
          <w:rFonts w:ascii="Bookman Old Style" w:hAnsi="Bookman Old Style"/>
          <w:sz w:val="22"/>
          <w:szCs w:val="22"/>
        </w:rPr>
        <w:t xml:space="preserve">Tanjung Pati </w:t>
      </w:r>
      <w:proofErr w:type="spellStart"/>
      <w:r w:rsidR="009B203E">
        <w:rPr>
          <w:rFonts w:ascii="Bookman Old Style" w:hAnsi="Bookman Old Style"/>
          <w:sz w:val="22"/>
          <w:szCs w:val="22"/>
        </w:rPr>
        <w:t>Kelas</w:t>
      </w:r>
      <w:proofErr w:type="spellEnd"/>
      <w:r w:rsidR="009B203E">
        <w:rPr>
          <w:rFonts w:ascii="Bookman Old Style" w:hAnsi="Bookman Old Style"/>
          <w:sz w:val="22"/>
          <w:szCs w:val="22"/>
        </w:rPr>
        <w:t xml:space="preserve"> IB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di</w:t>
      </w:r>
      <w:r w:rsidR="00062408">
        <w:rPr>
          <w:rFonts w:ascii="Bookman Old Style" w:hAnsi="Bookman Old Style"/>
          <w:sz w:val="22"/>
          <w:szCs w:val="22"/>
        </w:rPr>
        <w:t>mutasi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menjadi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Ketua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9B203E">
        <w:rPr>
          <w:rFonts w:ascii="Bookman Old Style" w:hAnsi="Bookman Old Style"/>
          <w:sz w:val="22"/>
          <w:szCs w:val="22"/>
        </w:rPr>
        <w:t>Dumai</w:t>
      </w:r>
      <w:proofErr w:type="spellEnd"/>
      <w:r w:rsidR="009B20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B203E">
        <w:rPr>
          <w:rFonts w:ascii="Bookman Old Style" w:hAnsi="Bookman Old Style"/>
          <w:sz w:val="22"/>
          <w:szCs w:val="22"/>
        </w:rPr>
        <w:t>Kelas</w:t>
      </w:r>
      <w:proofErr w:type="spellEnd"/>
      <w:r w:rsidR="009B203E">
        <w:rPr>
          <w:rFonts w:ascii="Bookman Old Style" w:hAnsi="Bookman Old Style"/>
          <w:sz w:val="22"/>
          <w:szCs w:val="22"/>
        </w:rPr>
        <w:t xml:space="preserve"> IB</w:t>
      </w:r>
      <w:r w:rsidR="00723EB7">
        <w:rPr>
          <w:rFonts w:ascii="Bookman Old Style" w:hAnsi="Bookman Old Style"/>
          <w:sz w:val="22"/>
          <w:szCs w:val="22"/>
          <w:lang w:val="id-ID"/>
        </w:rPr>
        <w:t xml:space="preserve"> yang diikuti oleh Pengadilan Tinggi Agama Padang</w:t>
      </w:r>
    </w:p>
    <w:p w14:paraId="4C7E6764" w14:textId="29F524D0" w:rsidR="005B2B61" w:rsidRPr="00747D82" w:rsidRDefault="005B2B61" w:rsidP="00EE5DCE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026C6DD3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</w:r>
      <w:r w:rsidR="00723EB7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723EB7">
        <w:rPr>
          <w:rFonts w:ascii="Bookman Old Style" w:hAnsi="Bookman Old Style"/>
          <w:sz w:val="22"/>
          <w:szCs w:val="22"/>
        </w:rPr>
        <w:t>Ketua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Pengadilan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Tinggi Agama </w:t>
      </w:r>
      <w:proofErr w:type="spellStart"/>
      <w:r w:rsidR="00723EB7">
        <w:rPr>
          <w:rFonts w:ascii="Bookman Old Style" w:hAnsi="Bookman Old Style"/>
          <w:sz w:val="22"/>
          <w:szCs w:val="22"/>
        </w:rPr>
        <w:t>Pekanbaru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nomor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1262/KPTA.W4-A/UND.KP4.1.3/X/2024 </w:t>
      </w:r>
      <w:proofErr w:type="spellStart"/>
      <w:r w:rsidR="00723EB7">
        <w:rPr>
          <w:rFonts w:ascii="Bookman Old Style" w:hAnsi="Bookman Old Style"/>
          <w:sz w:val="22"/>
          <w:szCs w:val="22"/>
        </w:rPr>
        <w:t>tanggal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22 Oktober 2024 </w:t>
      </w:r>
      <w:proofErr w:type="spellStart"/>
      <w:r w:rsidR="00723EB7">
        <w:rPr>
          <w:rFonts w:ascii="Bookman Old Style" w:hAnsi="Bookman Old Style"/>
          <w:sz w:val="22"/>
          <w:szCs w:val="22"/>
        </w:rPr>
        <w:t>hal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Undangan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Pelantikan</w:t>
      </w:r>
      <w:proofErr w:type="spellEnd"/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29B001B7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723EB7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723EB7">
        <w:rPr>
          <w:rFonts w:ascii="Bookman Old Style" w:hAnsi="Bookman Old Style"/>
          <w:sz w:val="22"/>
          <w:szCs w:val="22"/>
        </w:rPr>
        <w:t>Asfawi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, M.H., </w:t>
      </w:r>
      <w:r w:rsidR="00723EB7" w:rsidRPr="001D5A6E">
        <w:rPr>
          <w:rFonts w:ascii="Bookman Old Style" w:hAnsi="Bookman Old Style"/>
          <w:sz w:val="22"/>
          <w:szCs w:val="22"/>
        </w:rPr>
        <w:t>196012311992031037</w:t>
      </w:r>
      <w:r w:rsidR="00723EB7">
        <w:rPr>
          <w:rFonts w:ascii="Bookman Old Style" w:hAnsi="Bookman Old Style"/>
          <w:sz w:val="22"/>
          <w:szCs w:val="22"/>
        </w:rPr>
        <w:t xml:space="preserve">, Pembina Utama Madya (IV/d), Hakim Tinggi </w:t>
      </w:r>
      <w:proofErr w:type="spellStart"/>
      <w:r w:rsidR="00723EB7">
        <w:rPr>
          <w:rFonts w:ascii="Bookman Old Style" w:hAnsi="Bookman Old Style"/>
          <w:sz w:val="22"/>
          <w:szCs w:val="22"/>
        </w:rPr>
        <w:t>Pengadilan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Tinggi Agama Padang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147F2C20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="00723EB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723EB7">
        <w:rPr>
          <w:rFonts w:ascii="Bookman Old Style" w:hAnsi="Bookman Old Style"/>
          <w:spacing w:val="2"/>
          <w:sz w:val="22"/>
          <w:szCs w:val="22"/>
        </w:rPr>
        <w:t xml:space="preserve"> dan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pengambilan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sumpah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9B203E">
        <w:rPr>
          <w:rFonts w:ascii="Bookman Old Style" w:hAnsi="Bookman Old Style"/>
          <w:spacing w:val="2"/>
          <w:sz w:val="22"/>
          <w:szCs w:val="22"/>
        </w:rPr>
        <w:t>Dumai</w:t>
      </w:r>
      <w:proofErr w:type="spellEnd"/>
      <w:r w:rsidR="009B20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B203E">
        <w:rPr>
          <w:rFonts w:ascii="Bookman Old Style" w:hAnsi="Bookman Old Style"/>
          <w:spacing w:val="2"/>
          <w:sz w:val="22"/>
          <w:szCs w:val="22"/>
        </w:rPr>
        <w:t>Kelas</w:t>
      </w:r>
      <w:proofErr w:type="spellEnd"/>
      <w:r w:rsidR="009B203E">
        <w:rPr>
          <w:rFonts w:ascii="Bookman Old Style" w:hAnsi="Bookman Old Style"/>
          <w:spacing w:val="2"/>
          <w:sz w:val="22"/>
          <w:szCs w:val="22"/>
        </w:rPr>
        <w:t xml:space="preserve"> IB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pada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23EB7">
        <w:rPr>
          <w:rFonts w:ascii="Bookman Old Style" w:hAnsi="Bookman Old Style"/>
          <w:spacing w:val="2"/>
          <w:sz w:val="22"/>
          <w:szCs w:val="22"/>
        </w:rPr>
        <w:t>31 Oktober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723EB7">
        <w:rPr>
          <w:rFonts w:ascii="Bookman Old Style" w:hAnsi="Bookman Old Style"/>
          <w:spacing w:val="2"/>
          <w:sz w:val="22"/>
          <w:szCs w:val="22"/>
        </w:rPr>
        <w:t xml:space="preserve"> 1 November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202</w:t>
      </w:r>
      <w:r w:rsidR="008D445E">
        <w:rPr>
          <w:rFonts w:ascii="Bookman Old Style" w:hAnsi="Bookman Old Style"/>
          <w:spacing w:val="2"/>
          <w:sz w:val="22"/>
          <w:szCs w:val="22"/>
        </w:rPr>
        <w:t>4</w:t>
      </w:r>
      <w:r w:rsidR="008A2A35">
        <w:rPr>
          <w:rFonts w:ascii="Bookman Old Style" w:hAnsi="Bookman Old Style"/>
          <w:spacing w:val="2"/>
          <w:sz w:val="22"/>
          <w:szCs w:val="22"/>
        </w:rPr>
        <w:t>.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4DDB406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7569104D" w:rsidR="002E6B57" w:rsidRPr="00747D82" w:rsidRDefault="00723EB7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28 Oktober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53F15A6E" w:rsidR="002E6B57" w:rsidRPr="00747D82" w:rsidRDefault="00723EB7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2E6B57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2BF75C39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723EB7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0346DC54" w14:textId="15ACFA3E" w:rsidR="001A4C8B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Ketua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Pengadilan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="00723EB7">
        <w:rPr>
          <w:rFonts w:ascii="Bookman Old Style" w:hAnsi="Bookman Old Style"/>
          <w:sz w:val="22"/>
          <w:szCs w:val="22"/>
        </w:rPr>
        <w:t>sebagai</w:t>
      </w:r>
      <w:proofErr w:type="spellEnd"/>
      <w:r w:rsidR="00723E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3EB7">
        <w:rPr>
          <w:rFonts w:ascii="Bookman Old Style" w:hAnsi="Bookman Old Style"/>
          <w:sz w:val="22"/>
          <w:szCs w:val="22"/>
        </w:rPr>
        <w:t>laporan</w:t>
      </w:r>
      <w:proofErr w:type="spellEnd"/>
      <w:r w:rsidR="00723EB7">
        <w:rPr>
          <w:rFonts w:ascii="Bookman Old Style" w:hAnsi="Bookman Old Style"/>
          <w:sz w:val="22"/>
          <w:szCs w:val="22"/>
        </w:rPr>
        <w:t>);</w:t>
      </w:r>
    </w:p>
    <w:p w14:paraId="77F4C114" w14:textId="57C53BCE" w:rsidR="00723EB7" w:rsidRPr="002C6B58" w:rsidRDefault="00723EB7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Pekanbaru</w:t>
      </w:r>
    </w:p>
    <w:sectPr w:rsidR="00723EB7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371443">
    <w:abstractNumId w:val="1"/>
  </w:num>
  <w:num w:numId="3" w16cid:durableId="1634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2408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84F1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D46F2"/>
    <w:rsid w:val="006E3483"/>
    <w:rsid w:val="00705353"/>
    <w:rsid w:val="00705A0C"/>
    <w:rsid w:val="00712F34"/>
    <w:rsid w:val="00713582"/>
    <w:rsid w:val="007162F1"/>
    <w:rsid w:val="00723EB7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2A35"/>
    <w:rsid w:val="008A37DD"/>
    <w:rsid w:val="008A71EB"/>
    <w:rsid w:val="008B63BE"/>
    <w:rsid w:val="008B6B3A"/>
    <w:rsid w:val="008C3A1D"/>
    <w:rsid w:val="008D0096"/>
    <w:rsid w:val="008D445E"/>
    <w:rsid w:val="00927C3F"/>
    <w:rsid w:val="00937977"/>
    <w:rsid w:val="00941462"/>
    <w:rsid w:val="009514A7"/>
    <w:rsid w:val="0096050A"/>
    <w:rsid w:val="00980D06"/>
    <w:rsid w:val="00990DB7"/>
    <w:rsid w:val="00994063"/>
    <w:rsid w:val="00997456"/>
    <w:rsid w:val="009B203E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48E5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B62AB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2024-05-20T03:24:00Z</cp:lastPrinted>
  <dcterms:created xsi:type="dcterms:W3CDTF">2024-10-28T08:05:00Z</dcterms:created>
  <dcterms:modified xsi:type="dcterms:W3CDTF">2024-10-28T08:05:00Z</dcterms:modified>
</cp:coreProperties>
</file>