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left" w:pos="990"/>
          <w:tab w:val="right" w:pos="9270"/>
        </w:tabs>
        <w:spacing w:line="240" w:lineRule="auto"/>
        <w:ind w:left="240" w:hanging="239" w:hangingChars="109"/>
        <w:rPr>
          <w:rFonts w:hint="default"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   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HK.05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XII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       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Desember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202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</w:p>
    <w:p>
      <w:pPr>
        <w:tabs>
          <w:tab w:val="left" w:pos="960"/>
          <w:tab w:val="left" w:pos="1080"/>
        </w:tabs>
        <w:spacing w:line="240" w:lineRule="auto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-</w:t>
      </w:r>
    </w:p>
    <w:p>
      <w:pPr>
        <w:spacing w:line="240" w:lineRule="auto"/>
        <w:ind w:left="959" w:leftChars="0" w:hanging="959" w:hangingChars="436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Mohon Petunjuk Tindak Lanjut</w:t>
      </w:r>
    </w:p>
    <w:p>
      <w:pPr>
        <w:spacing w:line="240" w:lineRule="auto"/>
        <w:ind w:firstLine="1100" w:firstLineChars="500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Selisih Saldo Keuangan Perkara</w:t>
      </w:r>
    </w:p>
    <w:p>
      <w:pPr>
        <w:tabs>
          <w:tab w:val="left" w:pos="900"/>
          <w:tab w:val="left" w:pos="990"/>
          <w:tab w:val="left" w:pos="5387"/>
          <w:tab w:val="left" w:pos="5529"/>
        </w:tabs>
        <w:spacing w:line="240" w:lineRule="auto"/>
        <w:ind w:left="990" w:right="3356" w:hanging="990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240" w:lineRule="auto"/>
        <w:ind w:left="1080" w:right="4439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sv-SE"/>
        </w:rPr>
      </w:pP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Tanjung Pati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left="0" w:leftChars="0" w:firstLine="720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Menindaklanjuti surat saudara No. W3-A16/3933/HK.05/XII/2021 tanggal 23 Desember 2021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sebagaimana tersebut pada pokok surat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, maka bersama ini disampaikan kepada Saudara, bahwa sesuai dengan Pengumuman Panitera Pengadilan Agama Tajung Pati No. W3-A16/1885/HK.05/VI/2021 tanggal 28 Juni 2021, telah memenuhi maksud SEMA Nomor 4 Tahun 2008 poin 3 (tiga), dan sisa Panjar Perkara tersebut dapat disetor ke kas negara sebagai PNBP.</w:t>
      </w:r>
    </w:p>
    <w:p>
      <w:pPr>
        <w:pStyle w:val="10"/>
        <w:spacing w:before="240" w:line="360" w:lineRule="auto"/>
        <w:ind w:left="0" w:leftChars="0" w:firstLine="72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untuk dilaksanakan.</w:t>
      </w:r>
    </w:p>
    <w:p>
      <w:pPr>
        <w:pStyle w:val="10"/>
        <w:spacing w:line="360" w:lineRule="auto"/>
        <w:ind w:left="6240" w:leftChars="26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Ketua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ind w:left="6000" w:leftChars="2500" w:firstLine="0" w:firstLineChars="0"/>
        <w:rPr>
          <w:rFonts w:hint="default" w:ascii="Bookman Old Style" w:hAnsi="Bookman Old Style" w:eastAsia="Times New Roman" w:cs="Bookman Old Style"/>
          <w:b w:val="0"/>
          <w:bCs w:val="0"/>
          <w:color w:val="535B5A"/>
          <w:spacing w:val="0"/>
          <w:w w:val="69"/>
          <w:sz w:val="22"/>
          <w:szCs w:val="22"/>
          <w:lang w:val="en-US"/>
        </w:rPr>
        <w:sectPr>
          <w:pgSz w:w="12140" w:h="17020"/>
          <w:pgMar w:top="850" w:right="1584" w:bottom="562" w:left="1728" w:header="720" w:footer="720" w:gutter="0"/>
          <w:cols w:space="0" w:num="1"/>
          <w:rtlGutter w:val="0"/>
          <w:docGrid w:linePitch="0" w:charSpace="0"/>
        </w:sect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Drs. H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.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Zein Ahsan, M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.H.</w:t>
      </w:r>
      <w:bookmarkStart w:id="0" w:name="_GoBack"/>
      <w:bookmarkEnd w:id="0"/>
    </w:p>
    <w:p>
      <w:pPr>
        <w:pStyle w:val="17"/>
        <w:tabs>
          <w:tab w:val="left" w:pos="567"/>
        </w:tabs>
        <w:rPr>
          <w:rFonts w:hint="default"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0A9742CF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40C603A6"/>
    <w:rsid w:val="56135E27"/>
    <w:rsid w:val="588568A7"/>
    <w:rsid w:val="5A1A6A38"/>
    <w:rsid w:val="6C487EE3"/>
    <w:rsid w:val="75323C7F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80B3A-FA1C-4A11-B53A-1C64B3F15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2</Pages>
  <Words>111</Words>
  <Characters>716</Characters>
  <Lines>8</Lines>
  <Paragraphs>2</Paragraphs>
  <TotalTime>19</TotalTime>
  <ScaleCrop>false</ScaleCrop>
  <LinksUpToDate>false</LinksUpToDate>
  <CharactersWithSpaces>844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2021-08-16T03:27:00Z</dcterms:created>
  <dc:creator>Subag Umum</dc:creator>
  <cp:lastModifiedBy>LENOVO</cp:lastModifiedBy>
  <cp:lastPrinted>2021-12-27T07:06:54Z</cp:lastPrinted>
  <dcterms:modified xsi:type="dcterms:W3CDTF">2021-12-27T07:42:51Z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FD17DD62D03E4597808F84377315E74C</vt:lpwstr>
  </property>
</Properties>
</file>