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15F901C9" w:rsidR="00A42DA5" w:rsidRPr="00B2763A" w:rsidRDefault="00A42DA5" w:rsidP="0076593E">
      <w:pPr>
        <w:tabs>
          <w:tab w:val="left" w:pos="1134"/>
          <w:tab w:val="left" w:pos="1276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874DBE">
        <w:rPr>
          <w:rFonts w:ascii="Arial" w:hAnsi="Arial" w:cs="Arial"/>
        </w:rPr>
        <w:t>KP6.4</w:t>
      </w:r>
      <w:r w:rsidR="0036712A" w:rsidRPr="0036712A">
        <w:rPr>
          <w:rFonts w:ascii="Arial" w:hAnsi="Arial" w:cs="Arial"/>
        </w:rPr>
        <w:t>/</w:t>
      </w:r>
      <w:r w:rsidR="00BB5B0F">
        <w:rPr>
          <w:rFonts w:ascii="Arial" w:hAnsi="Arial" w:cs="Arial"/>
        </w:rPr>
        <w:t>X</w:t>
      </w:r>
      <w:r w:rsidR="00E46F1D">
        <w:rPr>
          <w:rFonts w:ascii="Arial" w:hAnsi="Arial" w:cs="Arial"/>
        </w:rPr>
        <w:t>I</w:t>
      </w:r>
      <w:r w:rsidR="00CF5DB6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76593E">
        <w:rPr>
          <w:rFonts w:ascii="Arial" w:hAnsi="Arial" w:cs="Arial"/>
        </w:rPr>
        <w:t>6</w:t>
      </w:r>
      <w:r w:rsidR="008849F2">
        <w:rPr>
          <w:rFonts w:ascii="Arial" w:hAnsi="Arial" w:cs="Arial"/>
        </w:rPr>
        <w:t xml:space="preserve"> </w:t>
      </w:r>
      <w:r w:rsidR="00874DBE">
        <w:rPr>
          <w:rFonts w:ascii="Arial" w:hAnsi="Arial" w:cs="Arial"/>
        </w:rPr>
        <w:t>Desember</w:t>
      </w:r>
      <w:r w:rsidR="00CF5DB6">
        <w:rPr>
          <w:rFonts w:ascii="Arial" w:hAnsi="Arial" w:cs="Arial"/>
        </w:rPr>
        <w:t xml:space="preserve"> 2024</w:t>
      </w:r>
    </w:p>
    <w:p w14:paraId="1FFA46BE" w14:textId="1F129097" w:rsidR="00A42DA5" w:rsidRPr="00B2763A" w:rsidRDefault="00A42DA5" w:rsidP="0076593E">
      <w:pPr>
        <w:tabs>
          <w:tab w:val="left" w:pos="1134"/>
          <w:tab w:val="left" w:pos="1276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E46F1D">
        <w:rPr>
          <w:rFonts w:ascii="Arial" w:hAnsi="Arial" w:cs="Arial"/>
        </w:rPr>
        <w:t>Penting</w:t>
      </w:r>
    </w:p>
    <w:p w14:paraId="247C98D5" w14:textId="6A603314" w:rsidR="00A42DA5" w:rsidRPr="00B2763A" w:rsidRDefault="00A42DA5" w:rsidP="0076593E">
      <w:pPr>
        <w:tabs>
          <w:tab w:val="left" w:pos="1134"/>
          <w:tab w:val="left" w:pos="1276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436A37">
        <w:rPr>
          <w:rFonts w:ascii="Arial" w:hAnsi="Arial" w:cs="Arial"/>
        </w:rPr>
        <w:t xml:space="preserve">1 (satu) </w:t>
      </w:r>
      <w:r w:rsidR="00874DBE">
        <w:rPr>
          <w:rFonts w:ascii="Arial" w:hAnsi="Arial" w:cs="Arial"/>
        </w:rPr>
        <w:t>lampiran</w:t>
      </w:r>
    </w:p>
    <w:p w14:paraId="3BEA7DC6" w14:textId="2D1A2823" w:rsidR="00CF5DB6" w:rsidRDefault="00A42DA5" w:rsidP="0076593E">
      <w:pPr>
        <w:tabs>
          <w:tab w:val="left" w:pos="1134"/>
          <w:tab w:val="left" w:pos="1276"/>
          <w:tab w:val="left" w:pos="1330"/>
        </w:tabs>
        <w:spacing w:line="276" w:lineRule="auto"/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r w:rsidR="0076593E">
        <w:rPr>
          <w:rFonts w:ascii="Arial" w:hAnsi="Arial" w:cs="Arial"/>
        </w:rPr>
        <w:tab/>
        <w:t>Penandatanganan MoU, Launching Aplikasi E-Sasuai</w:t>
      </w:r>
    </w:p>
    <w:p w14:paraId="72EF9925" w14:textId="6253D9B2" w:rsidR="0076593E" w:rsidRPr="00625A64" w:rsidRDefault="0076593E" w:rsidP="0076593E">
      <w:pPr>
        <w:tabs>
          <w:tab w:val="left" w:pos="1134"/>
          <w:tab w:val="left" w:pos="127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dan Pembinaan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5402952E" w14:textId="7BA75E9F" w:rsidR="00CF5DB6" w:rsidRDefault="00874DBE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Direktur Jenderal Badan Peradilan Agama</w:t>
      </w:r>
    </w:p>
    <w:p w14:paraId="5EE5E488" w14:textId="617454D4" w:rsidR="00874DBE" w:rsidRPr="00B2763A" w:rsidRDefault="00874DBE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Mahkamah Agung RI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291ED7">
      <w:pPr>
        <w:spacing w:line="360" w:lineRule="auto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7703B020" w14:textId="7FA067E0" w:rsidR="00874DBE" w:rsidRDefault="00874DBE" w:rsidP="00874DBE">
      <w:pPr>
        <w:spacing w:line="360" w:lineRule="auto"/>
        <w:ind w:firstLine="720"/>
        <w:jc w:val="both"/>
        <w:rPr>
          <w:rFonts w:ascii="Arial" w:hAnsi="Arial" w:cs="Arial"/>
        </w:rPr>
      </w:pPr>
      <w:r w:rsidRPr="00874DBE">
        <w:rPr>
          <w:rFonts w:ascii="Arial" w:hAnsi="Arial" w:cs="Arial"/>
        </w:rPr>
        <w:t>Dalam rangka rangka mengembangkan kompetensi teknis yustisial para Pimpinan, Hakim dan Aparatur di lingkungan Pengadilan Tinggi Agama Padang, kami bermaksud mengadakan Bimbingan Teknis</w:t>
      </w:r>
      <w:r>
        <w:rPr>
          <w:rFonts w:ascii="Arial" w:hAnsi="Arial" w:cs="Arial"/>
        </w:rPr>
        <w:t xml:space="preserve"> yang diikuti oleh aparatur sewilayah Pengadilan Tinggi Agama Padang. Sehubungan dengan kegiatan tersebut kami mohon kesediaan Bapak menjadi narasumber dalam acara tersebut, pada:</w:t>
      </w:r>
    </w:p>
    <w:p w14:paraId="47BDFB9A" w14:textId="093D6654" w:rsidR="00874DBE" w:rsidRDefault="00874DBE" w:rsidP="002120A4">
      <w:pPr>
        <w:tabs>
          <w:tab w:val="left" w:pos="709"/>
          <w:tab w:val="left" w:pos="2694"/>
          <w:tab w:val="left" w:pos="3119"/>
          <w:tab w:val="left" w:pos="3402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Hari/Tanggal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Senin s.d Rabu / 16 s.d 18 Desember 2024</w:t>
      </w:r>
      <w:r w:rsidR="002120A4">
        <w:rPr>
          <w:rFonts w:ascii="Arial" w:hAnsi="Arial" w:cs="Arial"/>
        </w:rPr>
        <w:t>;</w:t>
      </w:r>
    </w:p>
    <w:p w14:paraId="54EB3E55" w14:textId="045C91EB" w:rsidR="00874DBE" w:rsidRDefault="00874DBE" w:rsidP="002120A4">
      <w:pPr>
        <w:tabs>
          <w:tab w:val="left" w:pos="709"/>
          <w:tab w:val="left" w:pos="2694"/>
          <w:tab w:val="left" w:pos="3119"/>
          <w:tab w:val="left" w:pos="3402"/>
          <w:tab w:val="left" w:pos="368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Tempat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 xml:space="preserve">1. </w:t>
      </w:r>
      <w:r w:rsidR="002120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Pengadilan Tinggi Agama </w:t>
      </w:r>
      <w:r w:rsidR="002120A4">
        <w:rPr>
          <w:rFonts w:ascii="Arial" w:hAnsi="Arial" w:cs="Arial"/>
        </w:rPr>
        <w:t>Padang;</w:t>
      </w:r>
    </w:p>
    <w:p w14:paraId="47327351" w14:textId="6E568BC8" w:rsidR="00874DBE" w:rsidRDefault="00874DBE" w:rsidP="002120A4">
      <w:pPr>
        <w:tabs>
          <w:tab w:val="left" w:pos="709"/>
          <w:tab w:val="left" w:pos="3402"/>
          <w:tab w:val="left" w:pos="3686"/>
        </w:tabs>
        <w:spacing w:line="360" w:lineRule="auto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="002120A4">
        <w:rPr>
          <w:rFonts w:ascii="Arial" w:hAnsi="Arial" w:cs="Arial"/>
        </w:rPr>
        <w:tab/>
      </w:r>
      <w:r>
        <w:rPr>
          <w:rFonts w:ascii="Arial" w:hAnsi="Arial" w:cs="Arial"/>
        </w:rPr>
        <w:t>UIN Mahmud Yunus Batusangkar</w:t>
      </w:r>
      <w:r w:rsidR="002120A4">
        <w:rPr>
          <w:rFonts w:ascii="Arial" w:hAnsi="Arial" w:cs="Arial"/>
        </w:rPr>
        <w:t>;</w:t>
      </w:r>
    </w:p>
    <w:p w14:paraId="1CEDAD97" w14:textId="138B62EF" w:rsidR="002120A4" w:rsidRDefault="002120A4" w:rsidP="002120A4">
      <w:pPr>
        <w:tabs>
          <w:tab w:val="left" w:pos="709"/>
          <w:tab w:val="left" w:pos="3119"/>
          <w:tab w:val="left" w:pos="3402"/>
          <w:tab w:val="left" w:pos="3686"/>
        </w:tabs>
        <w:spacing w:line="360" w:lineRule="auto"/>
        <w:ind w:left="3686" w:hanging="2966"/>
        <w:jc w:val="both"/>
        <w:rPr>
          <w:rFonts w:ascii="Arial" w:hAnsi="Arial" w:cs="Arial"/>
        </w:rPr>
      </w:pPr>
      <w:r>
        <w:rPr>
          <w:rFonts w:ascii="Arial" w:hAnsi="Arial" w:cs="Arial"/>
        </w:rPr>
        <w:t>Kegiatan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1. </w:t>
      </w:r>
      <w:r>
        <w:rPr>
          <w:rFonts w:ascii="Arial" w:hAnsi="Arial" w:cs="Arial"/>
        </w:rPr>
        <w:tab/>
        <w:t>Pembinaan Pengadilan Agama Sewilayah Pengadilan Tinggi Agama Padang;</w:t>
      </w:r>
    </w:p>
    <w:p w14:paraId="655F2A10" w14:textId="387D8AD0" w:rsidR="002120A4" w:rsidRDefault="002120A4" w:rsidP="002120A4">
      <w:pPr>
        <w:tabs>
          <w:tab w:val="left" w:pos="709"/>
          <w:tab w:val="left" w:pos="3119"/>
          <w:tab w:val="left" w:pos="3402"/>
          <w:tab w:val="left" w:pos="3686"/>
        </w:tabs>
        <w:spacing w:line="360" w:lineRule="auto"/>
        <w:ind w:left="3686" w:hanging="296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MoU dengan UIN Mahmud Yunus Batusangkar;</w:t>
      </w:r>
    </w:p>
    <w:p w14:paraId="43433018" w14:textId="566B9057" w:rsidR="002120A4" w:rsidRDefault="002120A4" w:rsidP="002120A4">
      <w:pPr>
        <w:tabs>
          <w:tab w:val="left" w:pos="709"/>
          <w:tab w:val="left" w:pos="3119"/>
          <w:tab w:val="left" w:pos="3402"/>
          <w:tab w:val="left" w:pos="3686"/>
        </w:tabs>
        <w:spacing w:line="360" w:lineRule="auto"/>
        <w:ind w:left="3686" w:hanging="296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Temu ramah dengan Civitas Akademis;</w:t>
      </w:r>
    </w:p>
    <w:p w14:paraId="397AFBE5" w14:textId="1787F916" w:rsidR="002120A4" w:rsidRDefault="002120A4" w:rsidP="002120A4">
      <w:pPr>
        <w:tabs>
          <w:tab w:val="left" w:pos="709"/>
          <w:tab w:val="left" w:pos="3119"/>
          <w:tab w:val="left" w:pos="3402"/>
          <w:tab w:val="left" w:pos="3686"/>
        </w:tabs>
        <w:spacing w:line="360" w:lineRule="auto"/>
        <w:ind w:left="3686" w:hanging="296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Launching Aplikasi E-Sasuai;</w:t>
      </w:r>
    </w:p>
    <w:p w14:paraId="1E9D8828" w14:textId="416A900A" w:rsidR="00B46828" w:rsidRPr="00B46828" w:rsidRDefault="00B46828" w:rsidP="00B46828">
      <w:pPr>
        <w:spacing w:line="276" w:lineRule="auto"/>
        <w:ind w:firstLine="720"/>
        <w:jc w:val="both"/>
        <w:rPr>
          <w:rFonts w:ascii="Arial" w:hAnsi="Arial" w:cs="Arial"/>
        </w:rPr>
      </w:pPr>
      <w:r w:rsidRPr="00B46828">
        <w:rPr>
          <w:rFonts w:ascii="Arial" w:hAnsi="Arial" w:cs="Arial"/>
        </w:rPr>
        <w:t xml:space="preserve">Demikian </w:t>
      </w:r>
      <w:r w:rsidR="001016A6">
        <w:rPr>
          <w:rFonts w:ascii="Arial" w:hAnsi="Arial" w:cs="Arial"/>
        </w:rPr>
        <w:t>permohonan ini</w:t>
      </w:r>
      <w:r w:rsidRPr="00B46828">
        <w:rPr>
          <w:rFonts w:ascii="Arial" w:hAnsi="Arial" w:cs="Arial"/>
        </w:rPr>
        <w:t xml:space="preserve">, </w:t>
      </w:r>
      <w:r w:rsidR="005D071B">
        <w:rPr>
          <w:rFonts w:ascii="Arial" w:hAnsi="Arial" w:cs="Arial"/>
        </w:rPr>
        <w:t xml:space="preserve">besar harapan kami </w:t>
      </w:r>
      <w:r w:rsidR="001016A6">
        <w:rPr>
          <w:rFonts w:ascii="Arial" w:hAnsi="Arial" w:cs="Arial"/>
        </w:rPr>
        <w:t>Bapak</w:t>
      </w:r>
      <w:r w:rsidR="00DE5794">
        <w:rPr>
          <w:rFonts w:ascii="Arial" w:hAnsi="Arial" w:cs="Arial"/>
        </w:rPr>
        <w:t xml:space="preserve"> </w:t>
      </w:r>
      <w:r w:rsidR="005D071B">
        <w:rPr>
          <w:rFonts w:ascii="Arial" w:hAnsi="Arial" w:cs="Arial"/>
        </w:rPr>
        <w:t xml:space="preserve">berkenan hadir dan </w:t>
      </w:r>
      <w:r w:rsidR="00DE5794">
        <w:rPr>
          <w:rFonts w:ascii="Arial" w:hAnsi="Arial" w:cs="Arial"/>
        </w:rPr>
        <w:t>terimakasih.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3E35D3A" w14:textId="2CDBA319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Ketua</w:t>
      </w:r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4F107B09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16A6">
        <w:rPr>
          <w:rFonts w:ascii="Arial" w:hAnsi="Arial" w:cs="Arial"/>
        </w:rPr>
        <w:t>Abd. Hakim</w:t>
      </w:r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AE3D32F" w14:textId="77777777" w:rsidR="008849F2" w:rsidRDefault="008849F2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  <w:sectPr w:rsidR="008849F2" w:rsidSect="00B73533"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</w:p>
    <w:p w14:paraId="7F895D23" w14:textId="7685C134" w:rsidR="00BB221B" w:rsidRDefault="008849F2" w:rsidP="005D071B">
      <w:pPr>
        <w:spacing w:line="276" w:lineRule="auto"/>
        <w:ind w:left="104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LAMPIRAN SURAT KETUA PENGADILAN TINGGI AGAMA PADANG </w:t>
      </w:r>
    </w:p>
    <w:p w14:paraId="0451CF39" w14:textId="6B17C527" w:rsidR="008849F2" w:rsidRDefault="008849F2" w:rsidP="005D071B">
      <w:pPr>
        <w:spacing w:line="276" w:lineRule="auto"/>
        <w:ind w:left="1049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NOMOR : </w:t>
      </w:r>
      <w:r>
        <w:rPr>
          <w:rFonts w:ascii="Arial" w:hAnsi="Arial" w:cs="Arial"/>
        </w:rPr>
        <w:t xml:space="preserve">          </w:t>
      </w:r>
      <w:r w:rsidRPr="0036712A">
        <w:rPr>
          <w:rFonts w:ascii="Arial" w:hAnsi="Arial" w:cs="Arial"/>
        </w:rPr>
        <w:t>/KPTA.W3-A/</w:t>
      </w:r>
      <w:r>
        <w:rPr>
          <w:rFonts w:ascii="Arial" w:hAnsi="Arial" w:cs="Arial"/>
        </w:rPr>
        <w:t>KP6.4</w:t>
      </w:r>
      <w:r w:rsidRPr="0036712A">
        <w:rPr>
          <w:rFonts w:ascii="Arial" w:hAnsi="Arial" w:cs="Arial"/>
        </w:rPr>
        <w:t>/</w:t>
      </w:r>
      <w:r>
        <w:rPr>
          <w:rFonts w:ascii="Arial" w:hAnsi="Arial" w:cs="Arial"/>
        </w:rPr>
        <w:t>XII</w:t>
      </w:r>
      <w:r w:rsidRPr="0036712A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09F35DFC" w14:textId="58AC528F" w:rsidR="008849F2" w:rsidRDefault="008849F2" w:rsidP="005D071B">
      <w:pPr>
        <w:spacing w:line="276" w:lineRule="auto"/>
        <w:ind w:left="104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TANGGAL : </w:t>
      </w:r>
      <w:r w:rsidR="0076593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DESEMBER 2024</w:t>
      </w:r>
    </w:p>
    <w:p w14:paraId="30CD5199" w14:textId="57D26200" w:rsidR="008849F2" w:rsidRDefault="008849F2" w:rsidP="005D071B">
      <w:pPr>
        <w:spacing w:line="276" w:lineRule="auto"/>
        <w:jc w:val="center"/>
        <w:rPr>
          <w:rFonts w:ascii="Arial" w:hAnsi="Arial" w:cs="Arial"/>
        </w:rPr>
      </w:pPr>
    </w:p>
    <w:p w14:paraId="6C2AB9E4" w14:textId="77777777" w:rsidR="005D071B" w:rsidRDefault="008849F2" w:rsidP="005D071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RUNDOWN KEGIATAN</w:t>
      </w:r>
    </w:p>
    <w:p w14:paraId="22483D58" w14:textId="77777777" w:rsidR="005D071B" w:rsidRDefault="008849F2" w:rsidP="005D071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DIREKTUR JENDERAL BADAN PERADILAN AGAMA MAHKAMAH AGUNG RI</w:t>
      </w:r>
    </w:p>
    <w:p w14:paraId="3D069003" w14:textId="7B485DED" w:rsidR="008849F2" w:rsidRDefault="008849F2" w:rsidP="005D071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 PENGADILAN TINGGI AGAMA PADANG</w:t>
      </w:r>
    </w:p>
    <w:p w14:paraId="10EB7069" w14:textId="6396CFB7" w:rsidR="008849F2" w:rsidRDefault="008849F2" w:rsidP="008849F2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14742" w:type="dxa"/>
        <w:tblInd w:w="988" w:type="dxa"/>
        <w:tblLook w:val="04A0" w:firstRow="1" w:lastRow="0" w:firstColumn="1" w:lastColumn="0" w:noHBand="0" w:noVBand="1"/>
      </w:tblPr>
      <w:tblGrid>
        <w:gridCol w:w="567"/>
        <w:gridCol w:w="2268"/>
        <w:gridCol w:w="2409"/>
        <w:gridCol w:w="2977"/>
        <w:gridCol w:w="3402"/>
        <w:gridCol w:w="3119"/>
      </w:tblGrid>
      <w:tr w:rsidR="008849F2" w14:paraId="01FD2BAE" w14:textId="77777777" w:rsidTr="005D071B">
        <w:tc>
          <w:tcPr>
            <w:tcW w:w="567" w:type="dxa"/>
          </w:tcPr>
          <w:p w14:paraId="56B8CDE6" w14:textId="4E83C40A" w:rsidR="008849F2" w:rsidRDefault="008849F2" w:rsidP="005D071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68" w:type="dxa"/>
          </w:tcPr>
          <w:p w14:paraId="0ABFE17A" w14:textId="6F4F70D1" w:rsidR="008849F2" w:rsidRDefault="008849F2" w:rsidP="005D071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TANGGAL</w:t>
            </w:r>
          </w:p>
        </w:tc>
        <w:tc>
          <w:tcPr>
            <w:tcW w:w="2409" w:type="dxa"/>
          </w:tcPr>
          <w:p w14:paraId="7E39AE87" w14:textId="179172B0" w:rsidR="008849F2" w:rsidRDefault="008849F2" w:rsidP="005D071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</w:t>
            </w:r>
          </w:p>
        </w:tc>
        <w:tc>
          <w:tcPr>
            <w:tcW w:w="2977" w:type="dxa"/>
          </w:tcPr>
          <w:p w14:paraId="05E96D81" w14:textId="65004955" w:rsidR="008849F2" w:rsidRDefault="008849F2" w:rsidP="005D071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KEGIATAN</w:t>
            </w:r>
          </w:p>
        </w:tc>
        <w:tc>
          <w:tcPr>
            <w:tcW w:w="3402" w:type="dxa"/>
          </w:tcPr>
          <w:p w14:paraId="183BE0C3" w14:textId="57D828D9" w:rsidR="008849F2" w:rsidRDefault="008849F2" w:rsidP="005D071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PESERTA</w:t>
            </w:r>
          </w:p>
        </w:tc>
        <w:tc>
          <w:tcPr>
            <w:tcW w:w="3119" w:type="dxa"/>
          </w:tcPr>
          <w:p w14:paraId="671A9619" w14:textId="39458BC9" w:rsidR="008849F2" w:rsidRDefault="008849F2" w:rsidP="005D071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TEMPAT</w:t>
            </w:r>
          </w:p>
        </w:tc>
      </w:tr>
      <w:tr w:rsidR="00F25C2F" w14:paraId="0A4D9184" w14:textId="77777777" w:rsidTr="005D071B">
        <w:tc>
          <w:tcPr>
            <w:tcW w:w="567" w:type="dxa"/>
            <w:vMerge w:val="restart"/>
          </w:tcPr>
          <w:p w14:paraId="316D64F4" w14:textId="5CD42C66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</w:tcPr>
          <w:p w14:paraId="4CC6A441" w14:textId="3E1CDF70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Desember 2024</w:t>
            </w:r>
          </w:p>
        </w:tc>
        <w:tc>
          <w:tcPr>
            <w:tcW w:w="2409" w:type="dxa"/>
          </w:tcPr>
          <w:p w14:paraId="7B98339E" w14:textId="6F12F5AF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 – 14.00 WIB</w:t>
            </w:r>
          </w:p>
        </w:tc>
        <w:tc>
          <w:tcPr>
            <w:tcW w:w="2977" w:type="dxa"/>
          </w:tcPr>
          <w:p w14:paraId="190124B8" w14:textId="5ADD1717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Kedatangan Dirjen Badilag</w:t>
            </w:r>
          </w:p>
        </w:tc>
        <w:tc>
          <w:tcPr>
            <w:tcW w:w="3402" w:type="dxa"/>
          </w:tcPr>
          <w:p w14:paraId="5BEA651C" w14:textId="19AD73B9" w:rsidR="00F25C2F" w:rsidRDefault="005D071B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14:paraId="4A35BAD6" w14:textId="0320BADD" w:rsidR="00F25C2F" w:rsidRDefault="005D071B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25C2F" w14:paraId="1ABE1E54" w14:textId="77777777" w:rsidTr="005D071B">
        <w:tc>
          <w:tcPr>
            <w:tcW w:w="567" w:type="dxa"/>
            <w:vMerge/>
          </w:tcPr>
          <w:p w14:paraId="68816995" w14:textId="3CE5BE2F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7BC5BE3" w14:textId="2F2CF329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1DED62" w14:textId="2ECB1EE6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 – 15.00 WIB</w:t>
            </w:r>
          </w:p>
        </w:tc>
        <w:tc>
          <w:tcPr>
            <w:tcW w:w="2977" w:type="dxa"/>
          </w:tcPr>
          <w:p w14:paraId="37287AE1" w14:textId="5AA8ED3F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Launching Aplikasi E-Sasuai</w:t>
            </w:r>
          </w:p>
        </w:tc>
        <w:tc>
          <w:tcPr>
            <w:tcW w:w="3402" w:type="dxa"/>
            <w:vMerge w:val="restart"/>
          </w:tcPr>
          <w:p w14:paraId="73EB96E9" w14:textId="77777777" w:rsidR="00F25C2F" w:rsidRDefault="00F25C2F" w:rsidP="00F25C2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PTA Padang</w:t>
            </w:r>
          </w:p>
          <w:p w14:paraId="13650813" w14:textId="77777777" w:rsidR="00F25C2F" w:rsidRDefault="00F25C2F" w:rsidP="00F25C2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Rektor UIN Padang</w:t>
            </w:r>
          </w:p>
          <w:p w14:paraId="35597D66" w14:textId="77777777" w:rsidR="00F25C2F" w:rsidRDefault="00F25C2F" w:rsidP="00F25C2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Rektor UIN Bukittinggi </w:t>
            </w:r>
          </w:p>
          <w:p w14:paraId="0FD5390C" w14:textId="3F7A4EBC" w:rsidR="00F25C2F" w:rsidRPr="00F25C2F" w:rsidRDefault="00F25C2F" w:rsidP="00F25C2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Ketua PA Sewilayah PTA Padang</w:t>
            </w:r>
          </w:p>
        </w:tc>
        <w:tc>
          <w:tcPr>
            <w:tcW w:w="3119" w:type="dxa"/>
            <w:vMerge w:val="restart"/>
          </w:tcPr>
          <w:p w14:paraId="26FEDF02" w14:textId="68761B24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Command Center PTA Padang</w:t>
            </w:r>
          </w:p>
        </w:tc>
      </w:tr>
      <w:tr w:rsidR="00F25C2F" w14:paraId="2CE42405" w14:textId="77777777" w:rsidTr="005D071B">
        <w:tc>
          <w:tcPr>
            <w:tcW w:w="567" w:type="dxa"/>
            <w:vMerge/>
          </w:tcPr>
          <w:p w14:paraId="0A9E44C0" w14:textId="54BDE67E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4C0311E" w14:textId="77777777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C295505" w14:textId="64B0CEEF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16.30 WIB</w:t>
            </w:r>
          </w:p>
        </w:tc>
        <w:tc>
          <w:tcPr>
            <w:tcW w:w="2977" w:type="dxa"/>
          </w:tcPr>
          <w:p w14:paraId="28AF63E1" w14:textId="29063361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Pembinaan oleh Dirjen Badilag</w:t>
            </w:r>
          </w:p>
        </w:tc>
        <w:tc>
          <w:tcPr>
            <w:tcW w:w="3402" w:type="dxa"/>
            <w:vMerge/>
          </w:tcPr>
          <w:p w14:paraId="76D546E5" w14:textId="77777777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B977804" w14:textId="01FA3524" w:rsidR="00F25C2F" w:rsidRDefault="00F25C2F" w:rsidP="008849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C2F" w14:paraId="33859A53" w14:textId="77777777" w:rsidTr="005D071B">
        <w:tc>
          <w:tcPr>
            <w:tcW w:w="567" w:type="dxa"/>
            <w:vMerge w:val="restart"/>
          </w:tcPr>
          <w:p w14:paraId="58C671A9" w14:textId="3407BF0B" w:rsidR="00F25C2F" w:rsidRDefault="00F25C2F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</w:tcPr>
          <w:p w14:paraId="50033669" w14:textId="6C6DA5EC" w:rsidR="00F25C2F" w:rsidRDefault="00F25C2F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Desember 2024</w:t>
            </w:r>
          </w:p>
        </w:tc>
        <w:tc>
          <w:tcPr>
            <w:tcW w:w="2409" w:type="dxa"/>
          </w:tcPr>
          <w:p w14:paraId="264B4811" w14:textId="420C74AD" w:rsidR="00F25C2F" w:rsidRDefault="00F25C2F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08.30 – 10.00 WIB</w:t>
            </w:r>
          </w:p>
        </w:tc>
        <w:tc>
          <w:tcPr>
            <w:tcW w:w="2977" w:type="dxa"/>
          </w:tcPr>
          <w:p w14:paraId="31187990" w14:textId="13906B92" w:rsidR="00F25C2F" w:rsidRDefault="00F25C2F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 dengan UIN Mahmud Yunus Batusangkar</w:t>
            </w:r>
          </w:p>
        </w:tc>
        <w:tc>
          <w:tcPr>
            <w:tcW w:w="3402" w:type="dxa"/>
            <w:vMerge w:val="restart"/>
          </w:tcPr>
          <w:p w14:paraId="6F1A8F39" w14:textId="77777777" w:rsidR="00F25C2F" w:rsidRDefault="00F25C2F" w:rsidP="00F25C2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PTA Padang</w:t>
            </w:r>
          </w:p>
          <w:p w14:paraId="7244F792" w14:textId="77777777" w:rsidR="00F25C2F" w:rsidRDefault="00F25C2F" w:rsidP="00F25C2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Rektor UIN Mahmud Yunus Batusangkar</w:t>
            </w:r>
          </w:p>
          <w:p w14:paraId="12FC446F" w14:textId="5ADAA083" w:rsidR="00F25C2F" w:rsidRPr="00F25C2F" w:rsidRDefault="00F25C2F" w:rsidP="00F25C2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Ketua PA Sewilayah PTA Padang</w:t>
            </w:r>
          </w:p>
        </w:tc>
        <w:tc>
          <w:tcPr>
            <w:tcW w:w="3119" w:type="dxa"/>
            <w:vMerge w:val="restart"/>
          </w:tcPr>
          <w:p w14:paraId="72DA15DC" w14:textId="44CFE2ED" w:rsidR="00F25C2F" w:rsidRDefault="00F25C2F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UIN Mahmud Yunus Batusangkar</w:t>
            </w:r>
          </w:p>
        </w:tc>
      </w:tr>
      <w:tr w:rsidR="00F25C2F" w14:paraId="57534948" w14:textId="77777777" w:rsidTr="005D071B">
        <w:tc>
          <w:tcPr>
            <w:tcW w:w="567" w:type="dxa"/>
            <w:vMerge/>
          </w:tcPr>
          <w:p w14:paraId="0744AEFF" w14:textId="031F6451" w:rsidR="00F25C2F" w:rsidRDefault="00F25C2F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0FA1E63" w14:textId="77777777" w:rsidR="00F25C2F" w:rsidRDefault="00F25C2F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6CAD2E" w14:textId="4B124507" w:rsidR="00F25C2F" w:rsidRDefault="00F25C2F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– 12.00 WIB</w:t>
            </w:r>
          </w:p>
        </w:tc>
        <w:tc>
          <w:tcPr>
            <w:tcW w:w="2977" w:type="dxa"/>
          </w:tcPr>
          <w:p w14:paraId="523CA93B" w14:textId="78DA3BAB" w:rsidR="00F25C2F" w:rsidRDefault="00F25C2F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Temu Ramah dengan Civitas Akademis</w:t>
            </w:r>
          </w:p>
        </w:tc>
        <w:tc>
          <w:tcPr>
            <w:tcW w:w="3402" w:type="dxa"/>
            <w:vMerge/>
          </w:tcPr>
          <w:p w14:paraId="7C352F5F" w14:textId="77777777" w:rsidR="00F25C2F" w:rsidRDefault="00F25C2F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F6741C8" w14:textId="77777777" w:rsidR="00F25C2F" w:rsidRDefault="00F25C2F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C2F" w14:paraId="58A87256" w14:textId="77777777" w:rsidTr="005D071B">
        <w:tc>
          <w:tcPr>
            <w:tcW w:w="567" w:type="dxa"/>
          </w:tcPr>
          <w:p w14:paraId="4746A351" w14:textId="43DE9704" w:rsidR="00F25C2F" w:rsidRDefault="00F25C2F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7BF4298C" w14:textId="3E5575CD" w:rsidR="00F25C2F" w:rsidRDefault="005D071B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Desember 2024</w:t>
            </w:r>
          </w:p>
        </w:tc>
        <w:tc>
          <w:tcPr>
            <w:tcW w:w="2409" w:type="dxa"/>
          </w:tcPr>
          <w:p w14:paraId="60EAD8DE" w14:textId="1F4E2D46" w:rsidR="00F25C2F" w:rsidRDefault="005D071B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– 12.00 WIB</w:t>
            </w:r>
          </w:p>
        </w:tc>
        <w:tc>
          <w:tcPr>
            <w:tcW w:w="2977" w:type="dxa"/>
          </w:tcPr>
          <w:p w14:paraId="2C8EA3FA" w14:textId="362EF27D" w:rsidR="00F25C2F" w:rsidRDefault="005D071B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Keberangkatan Dirjen Badilag</w:t>
            </w:r>
          </w:p>
        </w:tc>
        <w:tc>
          <w:tcPr>
            <w:tcW w:w="3402" w:type="dxa"/>
          </w:tcPr>
          <w:p w14:paraId="7AEACB97" w14:textId="42196613" w:rsidR="00F25C2F" w:rsidRDefault="005D071B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14:paraId="773573CD" w14:textId="636DB760" w:rsidR="00F25C2F" w:rsidRDefault="005D071B" w:rsidP="00F25C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2BAB84C9" w14:textId="3024B397" w:rsidR="008849F2" w:rsidRDefault="008849F2" w:rsidP="008849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0A672C" w14:textId="3E2C3A46" w:rsidR="005D071B" w:rsidRDefault="005D071B" w:rsidP="005D071B">
      <w:pPr>
        <w:spacing w:line="276" w:lineRule="auto"/>
        <w:ind w:left="104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Ketua, </w:t>
      </w:r>
    </w:p>
    <w:p w14:paraId="41C45F14" w14:textId="19128A9C" w:rsidR="005D071B" w:rsidRDefault="005D071B" w:rsidP="005D071B">
      <w:pPr>
        <w:spacing w:line="276" w:lineRule="auto"/>
        <w:ind w:left="10490"/>
        <w:jc w:val="both"/>
        <w:rPr>
          <w:rFonts w:ascii="Arial" w:hAnsi="Arial" w:cs="Arial"/>
          <w:sz w:val="22"/>
          <w:szCs w:val="22"/>
        </w:rPr>
      </w:pPr>
    </w:p>
    <w:p w14:paraId="775C4AFA" w14:textId="39393C10" w:rsidR="005D071B" w:rsidRDefault="005D071B" w:rsidP="005D071B">
      <w:pPr>
        <w:spacing w:line="276" w:lineRule="auto"/>
        <w:ind w:left="10490"/>
        <w:jc w:val="both"/>
        <w:rPr>
          <w:rFonts w:ascii="Arial" w:hAnsi="Arial" w:cs="Arial"/>
          <w:sz w:val="22"/>
          <w:szCs w:val="22"/>
        </w:rPr>
      </w:pPr>
    </w:p>
    <w:p w14:paraId="63C20FC5" w14:textId="77777777" w:rsidR="005D071B" w:rsidRDefault="005D071B" w:rsidP="005D071B">
      <w:pPr>
        <w:spacing w:line="276" w:lineRule="auto"/>
        <w:ind w:left="10490"/>
        <w:jc w:val="both"/>
        <w:rPr>
          <w:rFonts w:ascii="Arial" w:hAnsi="Arial" w:cs="Arial"/>
          <w:sz w:val="22"/>
          <w:szCs w:val="22"/>
        </w:rPr>
      </w:pPr>
    </w:p>
    <w:p w14:paraId="285EA62D" w14:textId="073C8EA6" w:rsidR="005D071B" w:rsidRDefault="005D071B" w:rsidP="005D071B">
      <w:pPr>
        <w:spacing w:line="276" w:lineRule="auto"/>
        <w:ind w:left="104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Hakim</w:t>
      </w:r>
      <w:bookmarkEnd w:id="0"/>
    </w:p>
    <w:sectPr w:rsidR="005D071B" w:rsidSect="008849F2">
      <w:pgSz w:w="16838" w:h="11906" w:orient="landscape" w:code="9"/>
      <w:pgMar w:top="1134" w:right="1418" w:bottom="1418" w:left="28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AD62" w14:textId="77777777" w:rsidR="005D45B0" w:rsidRDefault="005D45B0" w:rsidP="008849F2">
      <w:r>
        <w:separator/>
      </w:r>
    </w:p>
  </w:endnote>
  <w:endnote w:type="continuationSeparator" w:id="0">
    <w:p w14:paraId="518E3242" w14:textId="77777777" w:rsidR="005D45B0" w:rsidRDefault="005D45B0" w:rsidP="0088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04A1" w14:textId="77777777" w:rsidR="005D45B0" w:rsidRDefault="005D45B0" w:rsidP="008849F2">
      <w:r>
        <w:separator/>
      </w:r>
    </w:p>
  </w:footnote>
  <w:footnote w:type="continuationSeparator" w:id="0">
    <w:p w14:paraId="026517BA" w14:textId="77777777" w:rsidR="005D45B0" w:rsidRDefault="005D45B0" w:rsidP="0088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9ED0A67"/>
    <w:multiLevelType w:val="hybridMultilevel"/>
    <w:tmpl w:val="607CF4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17A6729C"/>
    <w:multiLevelType w:val="hybridMultilevel"/>
    <w:tmpl w:val="7D92D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69791538"/>
    <w:multiLevelType w:val="hybridMultilevel"/>
    <w:tmpl w:val="7D92D8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8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5"/>
  </w:num>
  <w:num w:numId="5">
    <w:abstractNumId w:val="14"/>
  </w:num>
  <w:num w:numId="6">
    <w:abstractNumId w:val="4"/>
  </w:num>
  <w:num w:numId="7">
    <w:abstractNumId w:val="0"/>
  </w:num>
  <w:num w:numId="8">
    <w:abstractNumId w:val="5"/>
  </w:num>
  <w:num w:numId="9">
    <w:abstractNumId w:val="17"/>
  </w:num>
  <w:num w:numId="10">
    <w:abstractNumId w:val="2"/>
  </w:num>
  <w:num w:numId="11">
    <w:abstractNumId w:val="18"/>
  </w:num>
  <w:num w:numId="12">
    <w:abstractNumId w:val="6"/>
  </w:num>
  <w:num w:numId="13">
    <w:abstractNumId w:val="19"/>
  </w:num>
  <w:num w:numId="14">
    <w:abstractNumId w:val="11"/>
  </w:num>
  <w:num w:numId="15">
    <w:abstractNumId w:val="10"/>
  </w:num>
  <w:num w:numId="16">
    <w:abstractNumId w:val="13"/>
  </w:num>
  <w:num w:numId="17">
    <w:abstractNumId w:val="9"/>
  </w:num>
  <w:num w:numId="18">
    <w:abstractNumId w:val="1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3268"/>
    <w:rsid w:val="000B5922"/>
    <w:rsid w:val="001016A6"/>
    <w:rsid w:val="00194F42"/>
    <w:rsid w:val="001C3445"/>
    <w:rsid w:val="001D4152"/>
    <w:rsid w:val="001D450B"/>
    <w:rsid w:val="001F6BCE"/>
    <w:rsid w:val="002120A4"/>
    <w:rsid w:val="00226996"/>
    <w:rsid w:val="002325B2"/>
    <w:rsid w:val="00261718"/>
    <w:rsid w:val="00291ED7"/>
    <w:rsid w:val="00293E64"/>
    <w:rsid w:val="002A0BED"/>
    <w:rsid w:val="002A5898"/>
    <w:rsid w:val="002B1163"/>
    <w:rsid w:val="002D1CBE"/>
    <w:rsid w:val="00352053"/>
    <w:rsid w:val="0036712A"/>
    <w:rsid w:val="003A2002"/>
    <w:rsid w:val="003B4D34"/>
    <w:rsid w:val="003F45A1"/>
    <w:rsid w:val="00400BFE"/>
    <w:rsid w:val="00436A37"/>
    <w:rsid w:val="00444A90"/>
    <w:rsid w:val="00453D13"/>
    <w:rsid w:val="004A1C5D"/>
    <w:rsid w:val="004C1F53"/>
    <w:rsid w:val="004E6720"/>
    <w:rsid w:val="00525DBB"/>
    <w:rsid w:val="005802FE"/>
    <w:rsid w:val="005968BA"/>
    <w:rsid w:val="005B3B7E"/>
    <w:rsid w:val="005C4DA4"/>
    <w:rsid w:val="005D071B"/>
    <w:rsid w:val="005D45B0"/>
    <w:rsid w:val="006821BD"/>
    <w:rsid w:val="006E272B"/>
    <w:rsid w:val="00720F54"/>
    <w:rsid w:val="0076593E"/>
    <w:rsid w:val="00777A0A"/>
    <w:rsid w:val="007B2861"/>
    <w:rsid w:val="00821732"/>
    <w:rsid w:val="008663F5"/>
    <w:rsid w:val="00874DBE"/>
    <w:rsid w:val="008849F2"/>
    <w:rsid w:val="0092177E"/>
    <w:rsid w:val="009422FA"/>
    <w:rsid w:val="00971D6F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860EB"/>
    <w:rsid w:val="00AE488B"/>
    <w:rsid w:val="00AF4C45"/>
    <w:rsid w:val="00B113FB"/>
    <w:rsid w:val="00B1223B"/>
    <w:rsid w:val="00B14395"/>
    <w:rsid w:val="00B2763A"/>
    <w:rsid w:val="00B46828"/>
    <w:rsid w:val="00B73533"/>
    <w:rsid w:val="00B878AB"/>
    <w:rsid w:val="00BB221B"/>
    <w:rsid w:val="00BB4609"/>
    <w:rsid w:val="00BB5B0F"/>
    <w:rsid w:val="00BD5C78"/>
    <w:rsid w:val="00C301AA"/>
    <w:rsid w:val="00C64411"/>
    <w:rsid w:val="00C95C70"/>
    <w:rsid w:val="00CA7988"/>
    <w:rsid w:val="00CF5DB6"/>
    <w:rsid w:val="00DD5CB4"/>
    <w:rsid w:val="00DE0179"/>
    <w:rsid w:val="00DE5794"/>
    <w:rsid w:val="00DE7347"/>
    <w:rsid w:val="00E217CB"/>
    <w:rsid w:val="00E4689E"/>
    <w:rsid w:val="00E46F1D"/>
    <w:rsid w:val="00E720B3"/>
    <w:rsid w:val="00E8428C"/>
    <w:rsid w:val="00E90BDD"/>
    <w:rsid w:val="00EB7844"/>
    <w:rsid w:val="00EF390C"/>
    <w:rsid w:val="00F116CC"/>
    <w:rsid w:val="00F25C2F"/>
    <w:rsid w:val="00F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B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4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9F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4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9F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28</cp:revision>
  <cp:lastPrinted>2024-12-04T08:37:00Z</cp:lastPrinted>
  <dcterms:created xsi:type="dcterms:W3CDTF">2023-09-27T05:43:00Z</dcterms:created>
  <dcterms:modified xsi:type="dcterms:W3CDTF">2024-12-06T04:49:00Z</dcterms:modified>
</cp:coreProperties>
</file>