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4D8AA9CC" w:rsidR="00C50255" w:rsidRDefault="007E2C63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pict w14:anchorId="0C08ED7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" filled="f" stroked="f">
            <v:textbox style="mso-next-textbox:#Text Box 7" inset="0,0,0,0">
              <w:txbxContent>
                <w:p w14:paraId="65EE8612" w14:textId="77777777" w:rsidR="00C50255" w:rsidRDefault="00150D9B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59F09095" w14:textId="032D5115" w:rsidR="00C50255" w:rsidRDefault="007E2C63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pict w14:anchorId="2AD68807">
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" filled="f" stroked="f">
            <v:textbox style="mso-next-textbox:#Text Box 8" inset="0,0,0,0">
              <w:txbxContent>
                <w:p w14:paraId="5E3C392E" w14:textId="77777777" w:rsidR="00C50255" w:rsidRDefault="00150D9B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476A744D" w14:textId="77777777" w:rsidR="00C50255" w:rsidRDefault="00150D9B">
                  <w:pPr>
                    <w:jc w:val="center"/>
                  </w:pPr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Telp.(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59FC789A" w14:textId="77777777" w:rsidR="00C50255" w:rsidRDefault="00150D9B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8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rPr>
                      <w:rStyle w:val="Hyperlink"/>
                      <w:i/>
                      <w:u w:val="none"/>
                      <w:lang w:val="id-ID"/>
                    </w:rPr>
                    <w:t xml:space="preserve">     </w:t>
                  </w:r>
                  <w:r>
                    <w:rPr>
                      <w:lang w:val="id-ID"/>
                    </w:rPr>
                    <w:t>e-</w:t>
                  </w:r>
                  <w:r>
                    <w:t xml:space="preserve">mail: </w:t>
                  </w:r>
                  <w:r>
                    <w:rPr>
                      <w:i/>
                    </w:rPr>
                    <w:t>admin@pta-padang.go.id</w:t>
                  </w:r>
                </w:p>
                <w:p w14:paraId="45AB827D" w14:textId="77777777" w:rsidR="00C50255" w:rsidRDefault="00C5025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06597CFE" w:rsidR="00C50255" w:rsidRDefault="007E2C63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noProof/>
        </w:rPr>
        <w:pict w14:anchorId="016477ED">
          <v:line id="Line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" strokeweight="3pt">
            <v:stroke linestyle="thinThin"/>
          </v:line>
        </w:pict>
      </w:r>
    </w:p>
    <w:p w14:paraId="008E773A" w14:textId="359FEE5F" w:rsidR="004A05AD" w:rsidRPr="00532A27" w:rsidRDefault="00150D9B" w:rsidP="00532A27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532A27">
        <w:rPr>
          <w:rFonts w:ascii="Bookman Old Style" w:hAnsi="Bookman Old Style" w:cs="Arial"/>
          <w:sz w:val="22"/>
          <w:szCs w:val="20"/>
        </w:rPr>
        <w:t>Nomor</w:t>
      </w:r>
      <w:proofErr w:type="spellEnd"/>
      <w:r w:rsidRPr="00532A27">
        <w:rPr>
          <w:rFonts w:ascii="Bookman Old Style" w:hAnsi="Bookman Old Style" w:cs="Arial"/>
          <w:sz w:val="22"/>
          <w:szCs w:val="20"/>
        </w:rPr>
        <w:tab/>
        <w:t xml:space="preserve">: 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W3-A/</w:t>
      </w:r>
      <w:r w:rsidR="0049002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       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7E2C63">
        <w:rPr>
          <w:rFonts w:ascii="Bookman Old Style" w:hAnsi="Bookman Old Style" w:cs="Arial"/>
          <w:bCs/>
          <w:iCs/>
          <w:sz w:val="22"/>
          <w:szCs w:val="22"/>
          <w:lang w:val="en-ID"/>
        </w:rPr>
        <w:t>OT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.0</w:t>
      </w:r>
      <w:r w:rsidR="00171990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1</w:t>
      </w:r>
      <w:r w:rsidR="007E2C63">
        <w:rPr>
          <w:rFonts w:ascii="Bookman Old Style" w:hAnsi="Bookman Old Style" w:cs="Arial"/>
          <w:bCs/>
          <w:iCs/>
          <w:sz w:val="22"/>
          <w:szCs w:val="22"/>
          <w:lang w:val="en-ID"/>
        </w:rPr>
        <w:t>.2</w:t>
      </w:r>
      <w:bookmarkStart w:id="0" w:name="_GoBack"/>
      <w:bookmarkEnd w:id="0"/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49002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12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/202</w:t>
      </w:r>
      <w:r w:rsidR="001A094A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7E2C63">
        <w:rPr>
          <w:rFonts w:ascii="Bookman Old Style" w:hAnsi="Bookman Old Style" w:cs="Arial"/>
          <w:bCs/>
          <w:iCs/>
          <w:sz w:val="22"/>
          <w:szCs w:val="22"/>
          <w:lang w:val="en-ID"/>
        </w:rPr>
        <w:t>21</w:t>
      </w:r>
      <w:r w:rsidR="0049002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49002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Desember</w:t>
      </w:r>
      <w:proofErr w:type="spellEnd"/>
      <w:r w:rsidR="009D281F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202</w:t>
      </w:r>
      <w:r w:rsidR="00171990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</w:p>
    <w:p w14:paraId="7480A8C3" w14:textId="74E6CE21" w:rsidR="004A05AD" w:rsidRPr="00532A27" w:rsidRDefault="004A05AD" w:rsidP="00532A27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 xml:space="preserve">1 </w:t>
      </w:r>
      <w:proofErr w:type="spellStart"/>
      <w:r w:rsidR="00FC2382">
        <w:rPr>
          <w:rFonts w:ascii="Bookman Old Style" w:hAnsi="Bookman Old Style" w:cs="Arial"/>
          <w:bCs/>
          <w:iCs/>
          <w:sz w:val="22"/>
          <w:szCs w:val="22"/>
          <w:lang w:val="en-ID"/>
        </w:rPr>
        <w:t>berkas</w:t>
      </w:r>
      <w:proofErr w:type="spellEnd"/>
    </w:p>
    <w:p w14:paraId="363B2666" w14:textId="77777777" w:rsidR="00532A27" w:rsidRPr="00532A27" w:rsidRDefault="00532A27" w:rsidP="00532A27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Hal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Ikhtisar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Laporan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Hasil </w:t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Evaluasi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16BF51CB" w14:textId="77777777" w:rsidR="00532A27" w:rsidRPr="00532A27" w:rsidRDefault="00532A27" w:rsidP="00532A27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Akuntabilitas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Kinerja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Pengadilan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54EC866A" w14:textId="77777777" w:rsidR="00532A27" w:rsidRPr="00532A27" w:rsidRDefault="00532A27" w:rsidP="00532A27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 xml:space="preserve">Tingkat </w:t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Pertama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di </w:t>
      </w:r>
      <w:proofErr w:type="spellStart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lingkungan</w:t>
      </w:r>
      <w:proofErr w:type="spellEnd"/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079E3389" w14:textId="7ED94CB7" w:rsidR="004A05AD" w:rsidRPr="00532A27" w:rsidRDefault="00532A27" w:rsidP="00532A27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PTA Padang</w:t>
      </w:r>
    </w:p>
    <w:p w14:paraId="36386B30" w14:textId="7161120C" w:rsidR="00171990" w:rsidRPr="00532A27" w:rsidRDefault="00171990" w:rsidP="00532A27">
      <w:pPr>
        <w:spacing w:after="240" w:line="276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A119963" w14:textId="2B0E46DB" w:rsidR="00532A27" w:rsidRPr="00532A27" w:rsidRDefault="00532A27" w:rsidP="00532A27">
      <w:pPr>
        <w:pStyle w:val="Subtitle"/>
        <w:tabs>
          <w:tab w:val="left" w:pos="1904"/>
        </w:tabs>
        <w:spacing w:after="0" w:line="276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proofErr w:type="spellStart"/>
      <w:r w:rsidRPr="00532A27">
        <w:rPr>
          <w:rFonts w:ascii="Bookman Old Style" w:hAnsi="Bookman Old Style" w:cs="Arial"/>
          <w:b w:val="0"/>
          <w:sz w:val="22"/>
          <w:szCs w:val="22"/>
        </w:rPr>
        <w:t>Yth</w:t>
      </w:r>
      <w:proofErr w:type="spellEnd"/>
      <w:r w:rsidRPr="00532A27">
        <w:rPr>
          <w:rFonts w:ascii="Bookman Old Style" w:hAnsi="Bookman Old Style" w:cs="Arial"/>
          <w:b w:val="0"/>
          <w:sz w:val="22"/>
          <w:szCs w:val="22"/>
        </w:rPr>
        <w:t>.</w:t>
      </w:r>
      <w:r w:rsidRPr="00532A27">
        <w:rPr>
          <w:rFonts w:ascii="Bookman Old Style" w:hAnsi="Bookman Old Style" w:cs="Arial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Kepala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Pengawasan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Mahkamah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Agung RI</w:t>
      </w:r>
    </w:p>
    <w:p w14:paraId="50364E65" w14:textId="77777777" w:rsidR="00532A27" w:rsidRPr="00532A27" w:rsidRDefault="00532A27" w:rsidP="00532A27">
      <w:pPr>
        <w:pStyle w:val="Subtitle"/>
        <w:tabs>
          <w:tab w:val="left" w:pos="1904"/>
        </w:tabs>
        <w:spacing w:after="0" w:line="276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532A27">
        <w:rPr>
          <w:rFonts w:ascii="Bookman Old Style" w:hAnsi="Bookman Old Style" w:cs="Arial"/>
          <w:b w:val="0"/>
          <w:sz w:val="22"/>
          <w:szCs w:val="22"/>
        </w:rPr>
        <w:t xml:space="preserve">Di </w:t>
      </w:r>
    </w:p>
    <w:p w14:paraId="4E6A53F4" w14:textId="030B1671" w:rsidR="00532A27" w:rsidRDefault="00532A27" w:rsidP="00532A27">
      <w:pPr>
        <w:pStyle w:val="Subtitle"/>
        <w:tabs>
          <w:tab w:val="left" w:pos="567"/>
        </w:tabs>
        <w:spacing w:after="0" w:line="276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532A27">
        <w:rPr>
          <w:rFonts w:ascii="Bookman Old Style" w:hAnsi="Bookman Old Style" w:cs="Arial"/>
          <w:b w:val="0"/>
          <w:sz w:val="22"/>
          <w:szCs w:val="22"/>
        </w:rPr>
        <w:tab/>
      </w:r>
      <w:r>
        <w:rPr>
          <w:rFonts w:ascii="Bookman Old Style" w:hAnsi="Bookman Old Style" w:cs="Arial"/>
          <w:b w:val="0"/>
          <w:sz w:val="22"/>
          <w:szCs w:val="22"/>
        </w:rPr>
        <w:t>Jakarta</w:t>
      </w:r>
    </w:p>
    <w:p w14:paraId="5B688EC4" w14:textId="5539EB5E" w:rsidR="00532A27" w:rsidRDefault="00532A27" w:rsidP="00532A27">
      <w:pPr>
        <w:pStyle w:val="Subtitle"/>
        <w:tabs>
          <w:tab w:val="left" w:pos="567"/>
        </w:tabs>
        <w:spacing w:after="0" w:line="276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14:paraId="2A0750CA" w14:textId="59CCBF8D" w:rsidR="00532A27" w:rsidRDefault="00532A27" w:rsidP="00532A27">
      <w:pPr>
        <w:pStyle w:val="Subtitle"/>
        <w:numPr>
          <w:ilvl w:val="0"/>
          <w:numId w:val="6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Bookman Old Style" w:hAnsi="Bookman Old Style" w:cs="Arial"/>
          <w:b w:val="0"/>
          <w:sz w:val="22"/>
          <w:szCs w:val="22"/>
        </w:rPr>
      </w:pPr>
      <w:proofErr w:type="spellStart"/>
      <w:r>
        <w:rPr>
          <w:rFonts w:ascii="Bookman Old Style" w:hAnsi="Bookman Old Style" w:cs="Arial"/>
          <w:b w:val="0"/>
          <w:sz w:val="22"/>
          <w:szCs w:val="22"/>
        </w:rPr>
        <w:t>Berdasarkan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</w:t>
      </w:r>
      <w:r>
        <w:rPr>
          <w:rFonts w:ascii="Bookman Old Style" w:hAnsi="Bookman Old Style" w:cs="Arial"/>
          <w:b w:val="0"/>
          <w:sz w:val="22"/>
          <w:szCs w:val="22"/>
        </w:rPr>
        <w:t>eraturan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Menteri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Pendayagunaan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Aparatur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Negara Dan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Reformasi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Birokrasi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Republik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Nomor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88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Tahun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tentang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Evaluasi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Akuntabilitas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Kinerja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Instansi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Pemerintah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. PTA Padang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telah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melakukan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evaluasi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terhadap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Akuntabilitas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Kinerja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Tingkat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Pertama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>.</w:t>
      </w:r>
    </w:p>
    <w:p w14:paraId="32B7E12B" w14:textId="1EDD5DB0" w:rsidR="00642A38" w:rsidRDefault="00532A27" w:rsidP="00642A38">
      <w:pPr>
        <w:pStyle w:val="Subtitle"/>
        <w:numPr>
          <w:ilvl w:val="0"/>
          <w:numId w:val="6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PTA Padang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telah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melakukan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evaluasi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terhadap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Akuntabilitas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Kinerja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Pengadilan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Tingkat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Pertama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Tahun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2021,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dengan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metode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evalausi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sebagaimana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yang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ditetapkan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dalam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Surat Keputusan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Sekretaris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Mahkamah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Agung RI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Nomor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878/SEK/SK/VII/2022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tentang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Pedoman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Evaluasi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Akuntabilitas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Kinerja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Intansi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Pemerintah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di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Lingkungan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Mahkamah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Agung RI dan Badan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Peradilan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yang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Berada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di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Bawahnya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.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Laporan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Hasil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Evaluasi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telah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disampaikan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ke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masing-masing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Pimpinan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Pengadilan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Tingkat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Pertama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(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terlampir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)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dengan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pemeringkatan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dan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rekapitulasi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hasil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evaluasi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sebagai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642A38">
        <w:rPr>
          <w:rFonts w:ascii="Bookman Old Style" w:hAnsi="Bookman Old Style" w:cs="Arial"/>
          <w:b w:val="0"/>
          <w:sz w:val="22"/>
          <w:szCs w:val="22"/>
        </w:rPr>
        <w:t>berikut</w:t>
      </w:r>
      <w:proofErr w:type="spellEnd"/>
      <w:r w:rsidR="00642A38">
        <w:rPr>
          <w:rFonts w:ascii="Bookman Old Style" w:hAnsi="Bookman Old Style" w:cs="Arial"/>
          <w:b w:val="0"/>
          <w:sz w:val="22"/>
          <w:szCs w:val="22"/>
        </w:rPr>
        <w:t>.</w:t>
      </w:r>
    </w:p>
    <w:p w14:paraId="76C4621C" w14:textId="77777777" w:rsidR="00642A38" w:rsidRPr="00642A38" w:rsidRDefault="00642A38" w:rsidP="00642A38">
      <w:pPr>
        <w:pStyle w:val="Subtitle"/>
        <w:tabs>
          <w:tab w:val="left" w:pos="567"/>
        </w:tabs>
        <w:spacing w:after="0" w:line="276" w:lineRule="auto"/>
        <w:ind w:left="284"/>
        <w:jc w:val="both"/>
        <w:rPr>
          <w:rFonts w:ascii="Bookman Old Style" w:hAnsi="Bookman Old Style" w:cs="Arial"/>
          <w:b w:val="0"/>
          <w:sz w:val="22"/>
          <w:szCs w:val="22"/>
        </w:rPr>
      </w:pPr>
    </w:p>
    <w:tbl>
      <w:tblPr>
        <w:tblW w:w="9876" w:type="dxa"/>
        <w:tblInd w:w="113" w:type="dxa"/>
        <w:tblLook w:val="04A0" w:firstRow="1" w:lastRow="0" w:firstColumn="1" w:lastColumn="0" w:noHBand="0" w:noVBand="1"/>
      </w:tblPr>
      <w:tblGrid>
        <w:gridCol w:w="461"/>
        <w:gridCol w:w="2119"/>
        <w:gridCol w:w="1412"/>
        <w:gridCol w:w="1333"/>
        <w:gridCol w:w="1142"/>
        <w:gridCol w:w="1473"/>
        <w:gridCol w:w="960"/>
        <w:gridCol w:w="1016"/>
      </w:tblGrid>
      <w:tr w:rsidR="00A54CE4" w:rsidRPr="00A54CE4" w14:paraId="08C4B6D5" w14:textId="77777777" w:rsidTr="00A54CE4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6F5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No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38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UNIT KERJA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285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NILAI PER KOMPONEN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62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Nilai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7D3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Kategori</w:t>
            </w:r>
            <w:proofErr w:type="spellEnd"/>
          </w:p>
        </w:tc>
      </w:tr>
      <w:tr w:rsidR="00A54CE4" w:rsidRPr="00A54CE4" w14:paraId="1F5CE199" w14:textId="77777777" w:rsidTr="00A54CE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C04C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949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5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8ACC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6D36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58F8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A54CE4" w:rsidRPr="00A54CE4" w14:paraId="66110914" w14:textId="77777777" w:rsidTr="00A54CE4">
        <w:trPr>
          <w:trHeight w:val="11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6EF4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9F5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FF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Perencanaan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br/>
              <w:t>(30)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FAE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Pengukuran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br/>
              <w:t>(30)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2B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Pelaporan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br/>
              <w:t>(15)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D43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Evaluasi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Akuntabilitas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Kinerja</w:t>
            </w:r>
            <w:proofErr w:type="spellEnd"/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Internal</w:t>
            </w: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br/>
              <w:t>(25)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3EEF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1638" w14:textId="77777777" w:rsidR="00A54CE4" w:rsidRPr="00A54CE4" w:rsidRDefault="00A54CE4" w:rsidP="00A54CE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A54CE4" w:rsidRPr="00A54CE4" w14:paraId="57442D28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40F2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758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PTA Padang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63B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86A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252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F7E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0C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color w:val="000000"/>
                <w:sz w:val="18"/>
                <w:szCs w:val="18"/>
                <w:lang w:val="en-ID" w:eastAsia="en-ID"/>
              </w:rPr>
              <w:t>78,95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3CF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650F52AF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30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857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Pariaman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8D0F" w14:textId="77777777" w:rsidR="00A54CE4" w:rsidRPr="00A54CE4" w:rsidRDefault="00A54CE4" w:rsidP="00A54CE4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4EEA" w14:textId="77777777" w:rsidR="00A54CE4" w:rsidRPr="00A54CE4" w:rsidRDefault="00A54CE4" w:rsidP="00A54CE4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  <w:t>21,3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585F" w14:textId="77777777" w:rsidR="00A54CE4" w:rsidRPr="00A54CE4" w:rsidRDefault="00A54CE4" w:rsidP="00A54CE4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  <w:t>11,55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2DF8" w14:textId="77777777" w:rsidR="00A54CE4" w:rsidRPr="00A54CE4" w:rsidRDefault="00A54CE4" w:rsidP="00A54CE4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Arial"/>
                <w:color w:val="000000"/>
                <w:sz w:val="18"/>
                <w:szCs w:val="18"/>
                <w:lang w:val="en-ID" w:eastAsia="en-ID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DDF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158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5B12B19A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BF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86B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 Solok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6A7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316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F6C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69F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69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76,40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A5BA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3E9FF5B1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437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3B1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Sawahlunto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152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80C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966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10,8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EEA3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68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75,50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7C9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3347503F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1D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5296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Pulau</w:t>
            </w:r>
            <w:proofErr w:type="spellEnd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Punjung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1F2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132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AB6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AD7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62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73,65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5AB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754296CE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38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FA8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Batusangkar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56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DC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32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42F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59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C0C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4504C129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3DC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EB0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 Padang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F8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30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8D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67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21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77,45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D89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1E3BF0DB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D6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E72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 Padang Panjang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DAF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633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222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9D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243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76,85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90D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558DCE0F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6D3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19D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Sijunjung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2B5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81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F5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10,95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95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632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73,20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B55F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22C5B80B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96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A19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Koto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Baru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73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036B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300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CC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53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73,80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54C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665007AE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2E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5E2D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 Muara Labuh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95C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ED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D7F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53E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FFF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8DF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3B78CE30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1CB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B95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Painan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DDE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63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A4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EE0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59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77,25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D98E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7882DB65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AB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lastRenderedPageBreak/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22D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Bukittinggi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6D8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38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98C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D1D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6A5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48D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76EBF0ED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80B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CA2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Lubuk</w:t>
            </w:r>
            <w:proofErr w:type="spellEnd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Sikaping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623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AE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FC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560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83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5E7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7D5FCC38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54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DF6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 Talu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6E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BBE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C5C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9,6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213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5C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2B9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64315D30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87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A92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Maninjau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A7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B27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917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80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84A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74,50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C05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6731B8F7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E51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822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Payakumbuh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0F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43C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8FB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11,25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E1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81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B4C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6CDD8560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B12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E98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PA Tanjung Pati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D3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18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25B0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78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73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4038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54CE4" w:rsidRPr="00A54CE4" w14:paraId="6EA59859" w14:textId="77777777" w:rsidTr="00A54CE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65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86E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Lubuk</w:t>
            </w:r>
            <w:proofErr w:type="spellEnd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Basung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DB9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346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23,1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204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10,8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845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095" w14:textId="77777777" w:rsidR="00A54CE4" w:rsidRPr="00A54CE4" w:rsidRDefault="00A54CE4" w:rsidP="00A54CE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75,75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529" w14:textId="77777777" w:rsidR="00A54CE4" w:rsidRPr="00A54CE4" w:rsidRDefault="00A54CE4" w:rsidP="00A54CE4">
            <w:pPr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</w:pPr>
            <w:r w:rsidRPr="00A54CE4">
              <w:rPr>
                <w:rFonts w:ascii="Bookman Old Style" w:hAnsi="Bookman Old Style" w:cs="Calibri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</w:tbl>
    <w:p w14:paraId="7D94A216" w14:textId="425EDAFB" w:rsidR="00532A27" w:rsidRDefault="00532A27" w:rsidP="00532A27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eastAsia="zh-CN"/>
        </w:rPr>
      </w:pPr>
    </w:p>
    <w:p w14:paraId="7C95566E" w14:textId="77777777" w:rsidR="00CE0E26" w:rsidRPr="00CE0E26" w:rsidRDefault="00EB47B8" w:rsidP="00CE0E26">
      <w:pPr>
        <w:pStyle w:val="ListParagraph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Bookman Old Style" w:eastAsiaTheme="minorEastAsia" w:hAnsi="Bookman Old Style" w:cs="Calibri"/>
          <w:sz w:val="22"/>
          <w:szCs w:val="22"/>
          <w:lang w:eastAsia="zh-CN"/>
        </w:rPr>
      </w:pP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Berdasarkan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hasil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capaian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kinerja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masing-masing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 unit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kerja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tersebut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,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direkomendasikan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untuk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2"/>
          <w:lang w:eastAsia="zh-CN"/>
        </w:rPr>
        <w:t>:</w:t>
      </w:r>
    </w:p>
    <w:p w14:paraId="2FD8EF50" w14:textId="7105E7E3" w:rsidR="006A522B" w:rsidRPr="00CE0E26" w:rsidRDefault="006A522B" w:rsidP="00CE0E26">
      <w:pPr>
        <w:pStyle w:val="ListParagraph"/>
        <w:numPr>
          <w:ilvl w:val="0"/>
          <w:numId w:val="15"/>
        </w:numPr>
        <w:spacing w:after="240" w:line="360" w:lineRule="auto"/>
        <w:ind w:left="567" w:hanging="283"/>
        <w:jc w:val="both"/>
        <w:rPr>
          <w:rFonts w:ascii="Bookman Old Style" w:eastAsiaTheme="minorEastAsia" w:hAnsi="Bookman Old Style" w:cs="Calibri"/>
          <w:sz w:val="22"/>
          <w:szCs w:val="22"/>
          <w:lang w:eastAsia="zh-CN"/>
        </w:rPr>
      </w:pPr>
      <w:r w:rsidRPr="00CE0E26">
        <w:rPr>
          <w:rFonts w:ascii="Bookman Old Style" w:hAnsi="Bookman Old Style"/>
          <w:sz w:val="22"/>
          <w:szCs w:val="22"/>
        </w:rPr>
        <w:t xml:space="preserve">Agar di </w:t>
      </w:r>
      <w:proofErr w:type="spellStart"/>
      <w:r w:rsidRPr="00CE0E26">
        <w:rPr>
          <w:rFonts w:ascii="Bookman Old Style" w:hAnsi="Bookman Old Style"/>
          <w:sz w:val="22"/>
          <w:szCs w:val="22"/>
        </w:rPr>
        <w:t>dalam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dokumen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Renstra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arah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pembaharuan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CE0E26">
        <w:rPr>
          <w:rFonts w:ascii="Bookman Old Style" w:hAnsi="Bookman Old Style"/>
          <w:sz w:val="22"/>
          <w:szCs w:val="22"/>
        </w:rPr>
        <w:t>telah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sesuai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dengan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r w:rsidRPr="00CE0E26">
        <w:rPr>
          <w:rFonts w:ascii="Bookman Old Style" w:hAnsi="Bookman Old Style"/>
          <w:i/>
          <w:sz w:val="22"/>
          <w:szCs w:val="22"/>
        </w:rPr>
        <w:t xml:space="preserve">Blue Print </w:t>
      </w:r>
      <w:proofErr w:type="spellStart"/>
      <w:r w:rsidRPr="00CE0E26">
        <w:rPr>
          <w:rFonts w:ascii="Bookman Old Style" w:hAnsi="Bookman Old Style"/>
          <w:sz w:val="22"/>
          <w:szCs w:val="22"/>
        </w:rPr>
        <w:t>Mahkamah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Agung RI.</w:t>
      </w:r>
    </w:p>
    <w:p w14:paraId="3061A243" w14:textId="77777777" w:rsidR="006A522B" w:rsidRPr="00CE0E26" w:rsidRDefault="006A522B" w:rsidP="00CE0E2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0E26">
        <w:rPr>
          <w:rFonts w:ascii="Bookman Old Style" w:hAnsi="Bookman Old Style"/>
          <w:sz w:val="22"/>
          <w:szCs w:val="22"/>
        </w:rPr>
        <w:t>Pembaharuan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teknis</w:t>
      </w:r>
      <w:proofErr w:type="spellEnd"/>
    </w:p>
    <w:p w14:paraId="09DB1257" w14:textId="464C6B70" w:rsidR="00EB47B8" w:rsidRPr="00CE0E26" w:rsidRDefault="006A522B" w:rsidP="00CE0E2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0E26">
        <w:rPr>
          <w:rFonts w:ascii="Bookman Old Style" w:hAnsi="Bookman Old Style"/>
          <w:sz w:val="22"/>
          <w:szCs w:val="22"/>
        </w:rPr>
        <w:t>Pembaharuan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peradilan</w:t>
      </w:r>
      <w:proofErr w:type="spellEnd"/>
    </w:p>
    <w:p w14:paraId="5D9DA17A" w14:textId="616B313D" w:rsidR="00CE0E26" w:rsidRPr="00CE0E26" w:rsidRDefault="00CE0E26" w:rsidP="00CE0E2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hAnsi="Bookman Old Style"/>
          <w:sz w:val="22"/>
          <w:szCs w:val="22"/>
          <w:lang w:eastAsia="id-ID"/>
        </w:rPr>
      </w:pPr>
      <w:proofErr w:type="spellStart"/>
      <w:r w:rsidRPr="00CE0E26">
        <w:rPr>
          <w:rFonts w:ascii="Bookman Old Style" w:hAnsi="Bookman Old Style"/>
          <w:sz w:val="22"/>
          <w:szCs w:val="22"/>
        </w:rPr>
        <w:t>Penetapan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kinerja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pegawai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CE0E26">
        <w:rPr>
          <w:rFonts w:ascii="Bookman Old Style" w:hAnsi="Bookman Old Style"/>
          <w:sz w:val="22"/>
          <w:szCs w:val="22"/>
        </w:rPr>
        <w:t>telah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ada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dalam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bentuk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SKP </w:t>
      </w:r>
      <w:proofErr w:type="spellStart"/>
      <w:r w:rsidRPr="00CE0E26">
        <w:rPr>
          <w:rFonts w:ascii="Bookman Old Style" w:hAnsi="Bookman Old Style"/>
          <w:sz w:val="22"/>
          <w:szCs w:val="22"/>
        </w:rPr>
        <w:t>perlu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dijabarkan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secara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berjenjang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hubungan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CE0E26">
        <w:rPr>
          <w:rFonts w:ascii="Bookman Old Style" w:hAnsi="Bookman Old Style"/>
          <w:sz w:val="22"/>
          <w:szCs w:val="22"/>
        </w:rPr>
        <w:t>ber</w:t>
      </w:r>
      <w:r>
        <w:rPr>
          <w:rFonts w:ascii="Bookman Old Style" w:hAnsi="Bookman Old Style"/>
          <w:sz w:val="22"/>
          <w:szCs w:val="22"/>
        </w:rPr>
        <w:t>ke</w:t>
      </w:r>
      <w:r w:rsidRPr="00CE0E26">
        <w:rPr>
          <w:rFonts w:ascii="Bookman Old Style" w:hAnsi="Bookman Old Style"/>
          <w:sz w:val="22"/>
          <w:szCs w:val="22"/>
        </w:rPr>
        <w:t>sinambungan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CE0E26">
        <w:rPr>
          <w:rFonts w:ascii="Bookman Old Style" w:hAnsi="Bookman Old Style"/>
          <w:sz w:val="22"/>
          <w:szCs w:val="22"/>
        </w:rPr>
        <w:t>selaras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dengan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tujuan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organisasi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dengan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kinerja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individu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(cascading) dan </w:t>
      </w:r>
      <w:proofErr w:type="spellStart"/>
      <w:r w:rsidRPr="00CE0E26">
        <w:rPr>
          <w:rFonts w:ascii="Bookman Old Style" w:hAnsi="Bookman Old Style"/>
          <w:sz w:val="22"/>
          <w:szCs w:val="22"/>
        </w:rPr>
        <w:t>membuat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pohon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kinerja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CE0E26">
        <w:rPr>
          <w:rFonts w:ascii="Bookman Old Style" w:hAnsi="Bookman Old Style"/>
          <w:sz w:val="22"/>
          <w:szCs w:val="22"/>
        </w:rPr>
        <w:t>menggambarkan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kinerja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organisasi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CE0E26">
        <w:rPr>
          <w:rFonts w:ascii="Bookman Old Style" w:hAnsi="Bookman Old Style"/>
          <w:sz w:val="22"/>
          <w:szCs w:val="22"/>
        </w:rPr>
        <w:t>sesuai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dengan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  <w:szCs w:val="22"/>
        </w:rPr>
        <w:t>Permenpan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RB No. 89 </w:t>
      </w:r>
      <w:proofErr w:type="spellStart"/>
      <w:r w:rsidRPr="00CE0E26">
        <w:rPr>
          <w:rFonts w:ascii="Bookman Old Style" w:hAnsi="Bookman Old Style"/>
          <w:sz w:val="22"/>
          <w:szCs w:val="22"/>
        </w:rPr>
        <w:t>Tahun</w:t>
      </w:r>
      <w:proofErr w:type="spellEnd"/>
      <w:r w:rsidRPr="00CE0E26">
        <w:rPr>
          <w:rFonts w:ascii="Bookman Old Style" w:hAnsi="Bookman Old Style"/>
          <w:sz w:val="22"/>
          <w:szCs w:val="22"/>
        </w:rPr>
        <w:t xml:space="preserve"> 2021);</w:t>
      </w:r>
    </w:p>
    <w:p w14:paraId="695EA608" w14:textId="4D47D214" w:rsidR="00CE0E26" w:rsidRPr="00CE0E26" w:rsidRDefault="00CE0E26" w:rsidP="00CE0E2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hAnsi="Bookman Old Style"/>
          <w:sz w:val="18"/>
          <w:szCs w:val="20"/>
          <w:lang w:eastAsia="id-ID"/>
        </w:rPr>
      </w:pPr>
      <w:proofErr w:type="spellStart"/>
      <w:r w:rsidRPr="00CE0E26">
        <w:rPr>
          <w:rFonts w:ascii="Bookman Old Style" w:hAnsi="Bookman Old Style"/>
          <w:sz w:val="22"/>
        </w:rPr>
        <w:t>Membuat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laporan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periodik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atas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pelaksanaan</w:t>
      </w:r>
      <w:proofErr w:type="spellEnd"/>
      <w:r w:rsidRPr="00CE0E26">
        <w:rPr>
          <w:rFonts w:ascii="Bookman Old Style" w:hAnsi="Bookman Old Style"/>
          <w:sz w:val="22"/>
        </w:rPr>
        <w:t xml:space="preserve"> monitoring dan </w:t>
      </w:r>
      <w:proofErr w:type="spellStart"/>
      <w:r w:rsidRPr="00CE0E26">
        <w:rPr>
          <w:rFonts w:ascii="Bookman Old Style" w:hAnsi="Bookman Old Style"/>
          <w:sz w:val="22"/>
        </w:rPr>
        <w:t>evaluasi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capaian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kinerja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sesuai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dengan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pelaksanaan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rencana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aksi</w:t>
      </w:r>
      <w:proofErr w:type="spellEnd"/>
      <w:r w:rsidRPr="00CE0E26">
        <w:rPr>
          <w:rFonts w:ascii="Bookman Old Style" w:hAnsi="Bookman Old Style"/>
          <w:sz w:val="22"/>
        </w:rPr>
        <w:t xml:space="preserve"> yang </w:t>
      </w:r>
      <w:proofErr w:type="spellStart"/>
      <w:r w:rsidRPr="00CE0E26">
        <w:rPr>
          <w:rFonts w:ascii="Bookman Old Style" w:hAnsi="Bookman Old Style"/>
          <w:sz w:val="22"/>
        </w:rPr>
        <w:t>telah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disusun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secara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berkala</w:t>
      </w:r>
      <w:proofErr w:type="spellEnd"/>
      <w:r w:rsidRPr="00CE0E26">
        <w:rPr>
          <w:rFonts w:ascii="Bookman Old Style" w:hAnsi="Bookman Old Style"/>
          <w:sz w:val="22"/>
        </w:rPr>
        <w:t xml:space="preserve">. </w:t>
      </w:r>
      <w:proofErr w:type="spellStart"/>
      <w:r w:rsidRPr="00CE0E26">
        <w:rPr>
          <w:rFonts w:ascii="Bookman Old Style" w:hAnsi="Bookman Old Style"/>
          <w:sz w:val="22"/>
        </w:rPr>
        <w:t>Capaian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kinerja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diinformasikan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tidak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sebatas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dalam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bentuk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r w:rsidRPr="00CE0E26">
        <w:rPr>
          <w:rFonts w:ascii="Bookman Old Style" w:hAnsi="Bookman Old Style"/>
          <w:i/>
          <w:sz w:val="22"/>
        </w:rPr>
        <w:t>screenshot</w:t>
      </w:r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melalui</w:t>
      </w:r>
      <w:proofErr w:type="spellEnd"/>
      <w:r w:rsidRPr="00CE0E26">
        <w:rPr>
          <w:rFonts w:ascii="Bookman Old Style" w:hAnsi="Bookman Old Style"/>
          <w:sz w:val="22"/>
        </w:rPr>
        <w:t xml:space="preserve"> e-</w:t>
      </w:r>
      <w:proofErr w:type="spellStart"/>
      <w:r w:rsidRPr="00CE0E26">
        <w:rPr>
          <w:rFonts w:ascii="Bookman Old Style" w:hAnsi="Bookman Old Style"/>
          <w:sz w:val="22"/>
        </w:rPr>
        <w:t>sakip</w:t>
      </w:r>
      <w:proofErr w:type="spellEnd"/>
      <w:r w:rsidRPr="00CE0E26">
        <w:rPr>
          <w:rFonts w:ascii="Bookman Old Style" w:hAnsi="Bookman Old Style"/>
          <w:sz w:val="22"/>
        </w:rPr>
        <w:t xml:space="preserve"> pada </w:t>
      </w:r>
      <w:proofErr w:type="spellStart"/>
      <w:r w:rsidRPr="00CE0E26">
        <w:rPr>
          <w:rFonts w:ascii="Bookman Old Style" w:hAnsi="Bookman Old Style"/>
          <w:sz w:val="22"/>
        </w:rPr>
        <w:t>aplikasi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komdanas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tetapi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perlu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menginformasikan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permasalahan</w:t>
      </w:r>
      <w:proofErr w:type="spellEnd"/>
      <w:r w:rsidRPr="00CE0E26">
        <w:rPr>
          <w:rFonts w:ascii="Bookman Old Style" w:hAnsi="Bookman Old Style"/>
          <w:sz w:val="22"/>
        </w:rPr>
        <w:t xml:space="preserve"> dan </w:t>
      </w:r>
      <w:proofErr w:type="spellStart"/>
      <w:r w:rsidRPr="00CE0E26">
        <w:rPr>
          <w:rFonts w:ascii="Bookman Old Style" w:hAnsi="Bookman Old Style"/>
          <w:sz w:val="22"/>
        </w:rPr>
        <w:t>rekomendasi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perbaikan</w:t>
      </w:r>
      <w:proofErr w:type="spellEnd"/>
      <w:r w:rsidRPr="00CE0E26">
        <w:rPr>
          <w:rFonts w:ascii="Bookman Old Style" w:hAnsi="Bookman Old Style"/>
          <w:sz w:val="22"/>
        </w:rPr>
        <w:t xml:space="preserve"> yang </w:t>
      </w:r>
      <w:proofErr w:type="spellStart"/>
      <w:r w:rsidRPr="00CE0E26">
        <w:rPr>
          <w:rFonts w:ascii="Bookman Old Style" w:hAnsi="Bookman Old Style"/>
          <w:sz w:val="22"/>
        </w:rPr>
        <w:t>dilakukan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disetiap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periode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pelaporan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periodi</w:t>
      </w:r>
      <w:r>
        <w:rPr>
          <w:rFonts w:ascii="Bookman Old Style" w:hAnsi="Bookman Old Style"/>
          <w:sz w:val="22"/>
        </w:rPr>
        <w:t>k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tersebut</w:t>
      </w:r>
      <w:proofErr w:type="spellEnd"/>
      <w:r w:rsidRPr="00CE0E26">
        <w:rPr>
          <w:rFonts w:ascii="Bookman Old Style" w:hAnsi="Bookman Old Style"/>
          <w:sz w:val="22"/>
        </w:rPr>
        <w:t>;</w:t>
      </w:r>
    </w:p>
    <w:p w14:paraId="44B1721B" w14:textId="77777777" w:rsidR="00CE0E26" w:rsidRPr="00CE0E26" w:rsidRDefault="00CE0E26" w:rsidP="00CE0E2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hAnsi="Bookman Old Style"/>
          <w:color w:val="FF0000"/>
          <w:sz w:val="18"/>
          <w:szCs w:val="20"/>
          <w:lang w:eastAsia="id-ID"/>
        </w:rPr>
      </w:pPr>
      <w:proofErr w:type="spellStart"/>
      <w:r w:rsidRPr="00CE0E26">
        <w:rPr>
          <w:rFonts w:ascii="Bookman Old Style" w:hAnsi="Bookman Old Style"/>
          <w:sz w:val="22"/>
        </w:rPr>
        <w:t>Segera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menyusun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pedoman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teknis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pengukuran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kinerja</w:t>
      </w:r>
      <w:proofErr w:type="spellEnd"/>
      <w:r w:rsidRPr="00CE0E26">
        <w:rPr>
          <w:rFonts w:ascii="Bookman Old Style" w:hAnsi="Bookman Old Style"/>
          <w:sz w:val="22"/>
        </w:rPr>
        <w:t xml:space="preserve"> internal yang </w:t>
      </w:r>
      <w:proofErr w:type="spellStart"/>
      <w:r w:rsidRPr="00CE0E26">
        <w:rPr>
          <w:rFonts w:ascii="Bookman Old Style" w:hAnsi="Bookman Old Style"/>
          <w:sz w:val="22"/>
        </w:rPr>
        <w:t>mencakup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sekurang-kurangnya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mekanisme</w:t>
      </w:r>
      <w:proofErr w:type="spellEnd"/>
      <w:r w:rsidRPr="00CE0E26">
        <w:rPr>
          <w:rFonts w:ascii="Bookman Old Style" w:hAnsi="Bookman Old Style"/>
          <w:sz w:val="22"/>
        </w:rPr>
        <w:t xml:space="preserve">, </w:t>
      </w:r>
      <w:proofErr w:type="spellStart"/>
      <w:r w:rsidRPr="00CE0E26">
        <w:rPr>
          <w:rFonts w:ascii="Bookman Old Style" w:hAnsi="Bookman Old Style"/>
          <w:sz w:val="22"/>
        </w:rPr>
        <w:t>waktu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pelaksanaan</w:t>
      </w:r>
      <w:proofErr w:type="spellEnd"/>
      <w:r w:rsidRPr="00CE0E26">
        <w:rPr>
          <w:rFonts w:ascii="Bookman Old Style" w:hAnsi="Bookman Old Style"/>
          <w:sz w:val="22"/>
        </w:rPr>
        <w:t xml:space="preserve">, dan SOP </w:t>
      </w:r>
      <w:proofErr w:type="spellStart"/>
      <w:r w:rsidRPr="00CE0E26">
        <w:rPr>
          <w:rFonts w:ascii="Bookman Old Style" w:hAnsi="Bookman Old Style"/>
          <w:sz w:val="22"/>
        </w:rPr>
        <w:t>perlu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mengatur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apabila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terjadi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kesalahan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penginputan</w:t>
      </w:r>
      <w:proofErr w:type="spellEnd"/>
      <w:r w:rsidRPr="00CE0E26">
        <w:rPr>
          <w:rFonts w:ascii="Bookman Old Style" w:hAnsi="Bookman Old Style"/>
          <w:sz w:val="22"/>
        </w:rPr>
        <w:t xml:space="preserve"> data, </w:t>
      </w:r>
      <w:proofErr w:type="spellStart"/>
      <w:r w:rsidRPr="00CE0E26">
        <w:rPr>
          <w:rFonts w:ascii="Bookman Old Style" w:hAnsi="Bookman Old Style"/>
          <w:sz w:val="22"/>
        </w:rPr>
        <w:t>serta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menyiapkan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Jadwal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Monev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Pengukuran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Kinerja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sesuai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Rencana</w:t>
      </w:r>
      <w:proofErr w:type="spellEnd"/>
      <w:r w:rsidRPr="00CE0E26">
        <w:rPr>
          <w:rFonts w:ascii="Bookman Old Style" w:hAnsi="Bookman Old Style"/>
          <w:sz w:val="22"/>
        </w:rPr>
        <w:t xml:space="preserve"> </w:t>
      </w:r>
      <w:proofErr w:type="spellStart"/>
      <w:r w:rsidRPr="00CE0E26">
        <w:rPr>
          <w:rFonts w:ascii="Bookman Old Style" w:hAnsi="Bookman Old Style"/>
          <w:sz w:val="22"/>
        </w:rPr>
        <w:t>Aksi</w:t>
      </w:r>
      <w:proofErr w:type="spellEnd"/>
      <w:r w:rsidRPr="00CE0E26">
        <w:rPr>
          <w:rFonts w:ascii="Bookman Old Style" w:hAnsi="Bookman Old Style"/>
          <w:sz w:val="22"/>
        </w:rPr>
        <w:t>;</w:t>
      </w:r>
    </w:p>
    <w:p w14:paraId="15DD493C" w14:textId="1587D8C0" w:rsidR="00A85569" w:rsidRDefault="00A85569" w:rsidP="00A8556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eastAsia="id-ID"/>
        </w:rPr>
      </w:pPr>
      <w:proofErr w:type="spellStart"/>
      <w:r w:rsidRPr="00A85569">
        <w:rPr>
          <w:rFonts w:ascii="Bookman Old Style" w:hAnsi="Bookman Old Style"/>
          <w:sz w:val="22"/>
        </w:rPr>
        <w:t>Menyampaikan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eviden</w:t>
      </w:r>
      <w:proofErr w:type="spellEnd"/>
      <w:r w:rsidRPr="00A85569">
        <w:rPr>
          <w:rFonts w:ascii="Bookman Old Style" w:hAnsi="Bookman Old Style"/>
          <w:sz w:val="22"/>
        </w:rPr>
        <w:t xml:space="preserve"> yang </w:t>
      </w:r>
      <w:proofErr w:type="spellStart"/>
      <w:r w:rsidRPr="00A85569">
        <w:rPr>
          <w:rFonts w:ascii="Bookman Old Style" w:hAnsi="Bookman Old Style"/>
          <w:sz w:val="22"/>
        </w:rPr>
        <w:t>relevan</w:t>
      </w:r>
      <w:proofErr w:type="spellEnd"/>
      <w:r w:rsidRPr="00A85569">
        <w:rPr>
          <w:rFonts w:ascii="Bookman Old Style" w:hAnsi="Bookman Old Style"/>
          <w:sz w:val="22"/>
        </w:rPr>
        <w:t xml:space="preserve"> dan </w:t>
      </w:r>
      <w:proofErr w:type="spellStart"/>
      <w:r w:rsidRPr="00A85569">
        <w:rPr>
          <w:rFonts w:ascii="Bookman Old Style" w:hAnsi="Bookman Old Style"/>
          <w:sz w:val="22"/>
        </w:rPr>
        <w:t>lengkap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seperti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sesuai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tahun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evaluasi</w:t>
      </w:r>
      <w:proofErr w:type="spellEnd"/>
      <w:r>
        <w:t>;</w:t>
      </w:r>
    </w:p>
    <w:p w14:paraId="7CC293BB" w14:textId="1792E95C" w:rsidR="00CE0E26" w:rsidRDefault="00A85569" w:rsidP="00CE0E2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hAnsi="Bookman Old Style"/>
          <w:sz w:val="22"/>
        </w:rPr>
      </w:pPr>
      <w:proofErr w:type="spellStart"/>
      <w:r w:rsidRPr="00A85569">
        <w:rPr>
          <w:rFonts w:ascii="Bookman Old Style" w:hAnsi="Bookman Old Style"/>
          <w:sz w:val="22"/>
        </w:rPr>
        <w:t>Laporan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kinerja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memuat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perbandingan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realisasi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kinerja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dalam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periode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Renstra</w:t>
      </w:r>
      <w:proofErr w:type="spellEnd"/>
      <w:r w:rsidRPr="00A85569">
        <w:rPr>
          <w:rFonts w:ascii="Bookman Old Style" w:hAnsi="Bookman Old Style"/>
          <w:sz w:val="22"/>
        </w:rPr>
        <w:t xml:space="preserve"> (</w:t>
      </w:r>
      <w:proofErr w:type="spellStart"/>
      <w:r w:rsidRPr="00A85569">
        <w:rPr>
          <w:rFonts w:ascii="Bookman Old Style" w:hAnsi="Bookman Old Style"/>
          <w:sz w:val="22"/>
        </w:rPr>
        <w:t>jangka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menengah</w:t>
      </w:r>
      <w:proofErr w:type="spellEnd"/>
      <w:r w:rsidRPr="00A85569">
        <w:rPr>
          <w:rFonts w:ascii="Bookman Old Style" w:hAnsi="Bookman Old Style"/>
          <w:sz w:val="22"/>
        </w:rPr>
        <w:t xml:space="preserve">). Format </w:t>
      </w:r>
      <w:proofErr w:type="spellStart"/>
      <w:r w:rsidRPr="00A85569">
        <w:rPr>
          <w:rFonts w:ascii="Bookman Old Style" w:hAnsi="Bookman Old Style"/>
          <w:sz w:val="22"/>
        </w:rPr>
        <w:t>pelaporan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kinerja</w:t>
      </w:r>
      <w:proofErr w:type="spellEnd"/>
      <w:r w:rsidRPr="00A85569">
        <w:rPr>
          <w:rFonts w:ascii="Bookman Old Style" w:hAnsi="Bookman Old Style"/>
          <w:sz w:val="22"/>
        </w:rPr>
        <w:t xml:space="preserve"> agar </w:t>
      </w:r>
      <w:proofErr w:type="spellStart"/>
      <w:r w:rsidRPr="00A85569">
        <w:rPr>
          <w:rFonts w:ascii="Bookman Old Style" w:hAnsi="Bookman Old Style"/>
          <w:sz w:val="22"/>
        </w:rPr>
        <w:t>disesuaikan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dengan</w:t>
      </w:r>
      <w:proofErr w:type="spellEnd"/>
      <w:r w:rsidRPr="00A85569">
        <w:rPr>
          <w:rFonts w:ascii="Bookman Old Style" w:hAnsi="Bookman Old Style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sz w:val="22"/>
        </w:rPr>
        <w:t>Permenpan</w:t>
      </w:r>
      <w:proofErr w:type="spellEnd"/>
      <w:r w:rsidRPr="00A85569">
        <w:rPr>
          <w:rFonts w:ascii="Bookman Old Style" w:hAnsi="Bookman Old Style"/>
          <w:sz w:val="22"/>
        </w:rPr>
        <w:t xml:space="preserve"> RB No. 53 </w:t>
      </w:r>
      <w:proofErr w:type="spellStart"/>
      <w:r w:rsidRPr="00A85569">
        <w:rPr>
          <w:rFonts w:ascii="Bookman Old Style" w:hAnsi="Bookman Old Style"/>
          <w:sz w:val="22"/>
        </w:rPr>
        <w:t>Tahun</w:t>
      </w:r>
      <w:proofErr w:type="spellEnd"/>
      <w:r w:rsidRPr="00A85569">
        <w:rPr>
          <w:rFonts w:ascii="Bookman Old Style" w:hAnsi="Bookman Old Style"/>
          <w:sz w:val="22"/>
        </w:rPr>
        <w:t xml:space="preserve"> 2014</w:t>
      </w:r>
      <w:r>
        <w:rPr>
          <w:rFonts w:ascii="Bookman Old Style" w:hAnsi="Bookman Old Style"/>
          <w:sz w:val="22"/>
        </w:rPr>
        <w:t>;</w:t>
      </w:r>
    </w:p>
    <w:p w14:paraId="083B3ED3" w14:textId="612E4032" w:rsidR="00A85569" w:rsidRPr="00A85569" w:rsidRDefault="00A85569" w:rsidP="00A8556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hAnsi="Bookman Old Style"/>
          <w:color w:val="000000" w:themeColor="text1"/>
          <w:sz w:val="18"/>
          <w:szCs w:val="20"/>
          <w:lang w:eastAsia="id-ID"/>
        </w:rPr>
      </w:pP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Menyusun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pedoman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teknis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evaluasi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kinerja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internal yang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mencakup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sekurang-kurangnya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mekanisme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pengelolaan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data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kinerja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,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reviu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berjenjang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dan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evaluasi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kinerja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internal, monitoring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kinerja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berjenjang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dan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rekomendasi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serta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tindaklanjut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hasil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evaluasi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periodik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(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dapat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menggunakan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Surat Keputusan SEKMA RI No. 878/SEK/SK/VII/2022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sebagai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 xml:space="preserve"> </w:t>
      </w:r>
      <w:proofErr w:type="spellStart"/>
      <w:r w:rsidRPr="00A85569">
        <w:rPr>
          <w:rFonts w:ascii="Bookman Old Style" w:hAnsi="Bookman Old Style"/>
          <w:color w:val="000000" w:themeColor="text1"/>
          <w:sz w:val="22"/>
        </w:rPr>
        <w:t>rujukan</w:t>
      </w:r>
      <w:proofErr w:type="spellEnd"/>
      <w:r w:rsidRPr="00A85569">
        <w:rPr>
          <w:rFonts w:ascii="Bookman Old Style" w:hAnsi="Bookman Old Style"/>
          <w:color w:val="000000" w:themeColor="text1"/>
          <w:sz w:val="22"/>
        </w:rPr>
        <w:t>);</w:t>
      </w:r>
    </w:p>
    <w:p w14:paraId="27932DF4" w14:textId="195FE595" w:rsidR="00EB47B8" w:rsidRDefault="00EB47B8" w:rsidP="00CE0E26">
      <w:pPr>
        <w:pStyle w:val="ListParagraph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lastRenderedPageBreak/>
        <w:t>Demikian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laporan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ini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sampaikan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,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atas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perkenaan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Bapak</w:t>
      </w:r>
      <w:r w:rsidR="00585EFF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proofErr w:type="spellStart"/>
      <w:r w:rsidR="00585EFF">
        <w:rPr>
          <w:rFonts w:ascii="Bookman Old Style" w:eastAsiaTheme="minorEastAsia" w:hAnsi="Bookman Old Style" w:cs="Calibri"/>
          <w:sz w:val="22"/>
          <w:szCs w:val="20"/>
          <w:lang w:eastAsia="zh-CN"/>
        </w:rPr>
        <w:t>Ibu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diucapkan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terimakasih</w:t>
      </w:r>
      <w:proofErr w:type="spellEnd"/>
      <w:r w:rsidRPr="00CE0E26">
        <w:rPr>
          <w:rFonts w:ascii="Bookman Old Style" w:eastAsiaTheme="minorEastAsia" w:hAnsi="Bookman Old Style" w:cs="Calibri"/>
          <w:sz w:val="22"/>
          <w:szCs w:val="20"/>
          <w:lang w:eastAsia="zh-CN"/>
        </w:rPr>
        <w:t>.</w:t>
      </w:r>
    </w:p>
    <w:p w14:paraId="5F1B171C" w14:textId="77777777" w:rsidR="00A85569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29E026BA" w14:textId="5F338250" w:rsidR="00A85569" w:rsidRPr="00432F2A" w:rsidRDefault="00A85569" w:rsidP="007E2C63">
      <w:pPr>
        <w:spacing w:after="240"/>
        <w:ind w:left="4962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>Ketua</w:t>
      </w:r>
      <w:proofErr w:type="spellEnd"/>
      <w:r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7E2C63">
        <w:rPr>
          <w:rFonts w:ascii="Bookman Old Style" w:eastAsiaTheme="minorEastAsia" w:hAnsi="Bookman Old Style" w:cs="Calibri"/>
          <w:sz w:val="22"/>
          <w:szCs w:val="20"/>
          <w:lang w:eastAsia="zh-CN"/>
        </w:rPr>
        <w:br/>
      </w:r>
      <w:proofErr w:type="spellStart"/>
      <w:r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Tinggi Agama Padang</w:t>
      </w:r>
    </w:p>
    <w:p w14:paraId="17D12A4A" w14:textId="4E500C6F" w:rsidR="00A85569" w:rsidRPr="00432F2A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55844A62" w14:textId="505E3E80" w:rsidR="00A85569" w:rsidRPr="00432F2A" w:rsidRDefault="00A85569" w:rsidP="007E2C63">
      <w:pPr>
        <w:pStyle w:val="Subtitle"/>
        <w:tabs>
          <w:tab w:val="left" w:pos="1800"/>
        </w:tabs>
        <w:spacing w:after="0"/>
        <w:ind w:left="4962"/>
        <w:jc w:val="left"/>
        <w:rPr>
          <w:rFonts w:ascii="Bookman Old Style" w:hAnsi="Bookman Old Style" w:cs="Arial"/>
          <w:b w:val="0"/>
          <w:iCs/>
          <w:sz w:val="22"/>
          <w:szCs w:val="22"/>
        </w:rPr>
      </w:pPr>
      <w:r w:rsidRPr="007E2C63">
        <w:rPr>
          <w:rFonts w:ascii="Bookman Old Style" w:hAnsi="Bookman Old Style" w:cs="Arial"/>
          <w:b w:val="0"/>
          <w:iCs/>
          <w:sz w:val="22"/>
          <w:szCs w:val="22"/>
          <w:u w:val="single"/>
          <w:lang w:val="id-ID"/>
        </w:rPr>
        <w:t>Dr</w:t>
      </w:r>
      <w:r w:rsidRPr="007E2C63">
        <w:rPr>
          <w:rFonts w:ascii="Bookman Old Style" w:hAnsi="Bookman Old Style" w:cs="Arial"/>
          <w:b w:val="0"/>
          <w:iCs/>
          <w:sz w:val="22"/>
          <w:szCs w:val="22"/>
          <w:u w:val="single"/>
        </w:rPr>
        <w:t xml:space="preserve">. Drs. H. </w:t>
      </w:r>
      <w:proofErr w:type="spellStart"/>
      <w:r w:rsidRPr="007E2C63">
        <w:rPr>
          <w:rFonts w:ascii="Bookman Old Style" w:hAnsi="Bookman Old Style" w:cs="Arial"/>
          <w:b w:val="0"/>
          <w:iCs/>
          <w:sz w:val="22"/>
          <w:szCs w:val="22"/>
          <w:u w:val="single"/>
        </w:rPr>
        <w:t>Pelmizar</w:t>
      </w:r>
      <w:proofErr w:type="spellEnd"/>
      <w:r w:rsidRPr="007E2C63">
        <w:rPr>
          <w:rFonts w:ascii="Bookman Old Style" w:hAnsi="Bookman Old Style" w:cs="Arial"/>
          <w:b w:val="0"/>
          <w:iCs/>
          <w:sz w:val="22"/>
          <w:szCs w:val="22"/>
          <w:u w:val="single"/>
        </w:rPr>
        <w:t>, M.H.I</w:t>
      </w:r>
      <w:r w:rsidR="00E1721D" w:rsidRPr="007E2C63">
        <w:rPr>
          <w:rFonts w:ascii="Bookman Old Style" w:hAnsi="Bookman Old Style" w:cs="Arial"/>
          <w:b w:val="0"/>
          <w:iCs/>
          <w:sz w:val="22"/>
          <w:szCs w:val="22"/>
          <w:u w:val="single"/>
        </w:rPr>
        <w:t>.</w:t>
      </w:r>
      <w:r w:rsidRPr="00432F2A">
        <w:rPr>
          <w:rFonts w:ascii="Bookman Old Style" w:hAnsi="Bookman Old Style" w:cs="Arial"/>
          <w:b w:val="0"/>
          <w:iCs/>
          <w:sz w:val="22"/>
          <w:szCs w:val="22"/>
        </w:rPr>
        <w:tab/>
        <w:t xml:space="preserve">                          </w:t>
      </w:r>
      <w:r w:rsidR="007E2C63">
        <w:rPr>
          <w:rFonts w:ascii="Bookman Old Style" w:hAnsi="Bookman Old Style" w:cs="Arial"/>
          <w:b w:val="0"/>
          <w:iCs/>
          <w:sz w:val="22"/>
          <w:szCs w:val="22"/>
        </w:rPr>
        <w:t xml:space="preserve">   </w:t>
      </w:r>
      <w:r w:rsidRPr="00432F2A">
        <w:rPr>
          <w:rFonts w:ascii="Bookman Old Style" w:hAnsi="Bookman Old Style" w:cs="Arial"/>
          <w:b w:val="0"/>
          <w:iCs/>
          <w:sz w:val="22"/>
          <w:szCs w:val="22"/>
          <w:lang w:val="id-ID"/>
        </w:rPr>
        <w:t>NIP. 195611121981031009</w:t>
      </w:r>
    </w:p>
    <w:p w14:paraId="6A85A9BF" w14:textId="446E6B35" w:rsidR="00A85569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5B139B1B" w14:textId="1A324642" w:rsidR="00A85569" w:rsidRPr="00432F2A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7C616A2E" w14:textId="30857C15" w:rsidR="00432F2A" w:rsidRPr="00432F2A" w:rsidRDefault="00432F2A" w:rsidP="00432F2A">
      <w:pPr>
        <w:pStyle w:val="Subtitle"/>
        <w:spacing w:after="0"/>
        <w:jc w:val="left"/>
        <w:rPr>
          <w:rFonts w:ascii="Bookman Old Style" w:hAnsi="Bookman Old Style" w:cs="Arial"/>
          <w:b w:val="0"/>
          <w:iCs/>
          <w:sz w:val="22"/>
          <w:szCs w:val="22"/>
          <w:lang w:val="id-ID"/>
        </w:rPr>
      </w:pPr>
      <w:r w:rsidRPr="00432F2A">
        <w:rPr>
          <w:rFonts w:ascii="Bookman Old Style" w:hAnsi="Bookman Old Style" w:cs="Arial"/>
          <w:b w:val="0"/>
          <w:iCs/>
          <w:sz w:val="22"/>
          <w:szCs w:val="22"/>
          <w:lang w:val="id-ID"/>
        </w:rPr>
        <w:t>Tembusan Y</w:t>
      </w:r>
      <w:proofErr w:type="spellStart"/>
      <w:r w:rsidRPr="00432F2A">
        <w:rPr>
          <w:rFonts w:ascii="Bookman Old Style" w:hAnsi="Bookman Old Style" w:cs="Arial"/>
          <w:b w:val="0"/>
          <w:iCs/>
          <w:sz w:val="22"/>
          <w:szCs w:val="22"/>
        </w:rPr>
        <w:t>th</w:t>
      </w:r>
      <w:proofErr w:type="spellEnd"/>
      <w:r w:rsidRPr="00432F2A">
        <w:rPr>
          <w:rFonts w:ascii="Bookman Old Style" w:hAnsi="Bookman Old Style" w:cs="Arial"/>
          <w:b w:val="0"/>
          <w:iCs/>
          <w:sz w:val="22"/>
          <w:szCs w:val="22"/>
          <w:lang w:val="id-ID"/>
        </w:rPr>
        <w:t>:</w:t>
      </w:r>
    </w:p>
    <w:p w14:paraId="4033547B" w14:textId="59F4698D" w:rsidR="00432F2A" w:rsidRDefault="00E1721D" w:rsidP="00FC2382">
      <w:pPr>
        <w:pStyle w:val="Subtitle"/>
        <w:spacing w:after="0"/>
        <w:jc w:val="left"/>
        <w:rPr>
          <w:rFonts w:ascii="Bookman Old Style" w:hAnsi="Bookman Old Style" w:cs="Arial"/>
          <w:b w:val="0"/>
          <w:iCs/>
          <w:sz w:val="22"/>
          <w:szCs w:val="22"/>
        </w:rPr>
      </w:pPr>
      <w:r>
        <w:rPr>
          <w:rFonts w:ascii="Bookman Old Style" w:hAnsi="Bookman Old Style" w:cs="Arial"/>
          <w:b w:val="0"/>
          <w:iCs/>
          <w:sz w:val="22"/>
          <w:szCs w:val="22"/>
        </w:rPr>
        <w:t xml:space="preserve">1.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Dirjen</w:t>
      </w:r>
      <w:proofErr w:type="spellEnd"/>
      <w:r>
        <w:rPr>
          <w:rFonts w:ascii="Bookman Old Style" w:hAnsi="Bookman Old Style" w:cs="Arial"/>
          <w:b w:val="0"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Terkait</w:t>
      </w:r>
      <w:proofErr w:type="spellEnd"/>
      <w:r>
        <w:rPr>
          <w:rFonts w:ascii="Bookman Old Style" w:hAnsi="Bookman Old Style" w:cs="Arial"/>
          <w:b w:val="0"/>
          <w:iCs/>
          <w:sz w:val="22"/>
          <w:szCs w:val="22"/>
        </w:rPr>
        <w:t>;</w:t>
      </w:r>
    </w:p>
    <w:p w14:paraId="642B11BE" w14:textId="04965316" w:rsidR="00E1721D" w:rsidRPr="00E1721D" w:rsidRDefault="00E1721D" w:rsidP="00FC2382">
      <w:pPr>
        <w:pStyle w:val="Subtitle"/>
        <w:spacing w:after="0"/>
        <w:jc w:val="left"/>
        <w:rPr>
          <w:rFonts w:ascii="Bookman Old Style" w:hAnsi="Bookman Old Style" w:cs="Arial"/>
          <w:b w:val="0"/>
          <w:iCs/>
          <w:sz w:val="22"/>
          <w:szCs w:val="22"/>
        </w:rPr>
      </w:pPr>
      <w:r>
        <w:rPr>
          <w:rFonts w:ascii="Bookman Old Style" w:hAnsi="Bookman Old Style" w:cs="Arial"/>
          <w:b w:val="0"/>
          <w:iCs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Sesuai</w:t>
      </w:r>
      <w:proofErr w:type="spellEnd"/>
      <w:r>
        <w:rPr>
          <w:rFonts w:ascii="Bookman Old Style" w:hAnsi="Bookman Old Style" w:cs="Arial"/>
          <w:b w:val="0"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Kebutuhan</w:t>
      </w:r>
      <w:proofErr w:type="spellEnd"/>
    </w:p>
    <w:p w14:paraId="1CAC064C" w14:textId="3A702C54" w:rsidR="00432F2A" w:rsidRPr="00A85569" w:rsidRDefault="00432F2A" w:rsidP="00432F2A">
      <w:pPr>
        <w:spacing w:after="240" w:line="360" w:lineRule="auto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sectPr w:rsidR="00432F2A" w:rsidRPr="00A85569" w:rsidSect="00532A2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F86"/>
    <w:multiLevelType w:val="hybridMultilevel"/>
    <w:tmpl w:val="20DCFCF4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D56"/>
    <w:multiLevelType w:val="hybridMultilevel"/>
    <w:tmpl w:val="7BD06640"/>
    <w:lvl w:ilvl="0" w:tplc="F9D649D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EAF"/>
    <w:multiLevelType w:val="hybridMultilevel"/>
    <w:tmpl w:val="244A7D18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6C46EF"/>
    <w:multiLevelType w:val="hybridMultilevel"/>
    <w:tmpl w:val="030C2ED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3AF1"/>
    <w:multiLevelType w:val="hybridMultilevel"/>
    <w:tmpl w:val="DE44710C"/>
    <w:lvl w:ilvl="0" w:tplc="38090019">
      <w:start w:val="1"/>
      <w:numFmt w:val="lowerLetter"/>
      <w:lvlText w:val="%1."/>
      <w:lvlJc w:val="left"/>
      <w:pPr>
        <w:ind w:left="1111" w:hanging="360"/>
      </w:pPr>
    </w:lvl>
    <w:lvl w:ilvl="1" w:tplc="38090019" w:tentative="1">
      <w:start w:val="1"/>
      <w:numFmt w:val="lowerLetter"/>
      <w:lvlText w:val="%2."/>
      <w:lvlJc w:val="left"/>
      <w:pPr>
        <w:ind w:left="1831" w:hanging="360"/>
      </w:pPr>
    </w:lvl>
    <w:lvl w:ilvl="2" w:tplc="3809001B" w:tentative="1">
      <w:start w:val="1"/>
      <w:numFmt w:val="lowerRoman"/>
      <w:lvlText w:val="%3."/>
      <w:lvlJc w:val="right"/>
      <w:pPr>
        <w:ind w:left="2551" w:hanging="180"/>
      </w:pPr>
    </w:lvl>
    <w:lvl w:ilvl="3" w:tplc="3809000F" w:tentative="1">
      <w:start w:val="1"/>
      <w:numFmt w:val="decimal"/>
      <w:lvlText w:val="%4."/>
      <w:lvlJc w:val="left"/>
      <w:pPr>
        <w:ind w:left="3271" w:hanging="360"/>
      </w:pPr>
    </w:lvl>
    <w:lvl w:ilvl="4" w:tplc="38090019" w:tentative="1">
      <w:start w:val="1"/>
      <w:numFmt w:val="lowerLetter"/>
      <w:lvlText w:val="%5."/>
      <w:lvlJc w:val="left"/>
      <w:pPr>
        <w:ind w:left="3991" w:hanging="360"/>
      </w:pPr>
    </w:lvl>
    <w:lvl w:ilvl="5" w:tplc="3809001B" w:tentative="1">
      <w:start w:val="1"/>
      <w:numFmt w:val="lowerRoman"/>
      <w:lvlText w:val="%6."/>
      <w:lvlJc w:val="right"/>
      <w:pPr>
        <w:ind w:left="4711" w:hanging="180"/>
      </w:pPr>
    </w:lvl>
    <w:lvl w:ilvl="6" w:tplc="3809000F" w:tentative="1">
      <w:start w:val="1"/>
      <w:numFmt w:val="decimal"/>
      <w:lvlText w:val="%7."/>
      <w:lvlJc w:val="left"/>
      <w:pPr>
        <w:ind w:left="5431" w:hanging="360"/>
      </w:pPr>
    </w:lvl>
    <w:lvl w:ilvl="7" w:tplc="38090019" w:tentative="1">
      <w:start w:val="1"/>
      <w:numFmt w:val="lowerLetter"/>
      <w:lvlText w:val="%8."/>
      <w:lvlJc w:val="left"/>
      <w:pPr>
        <w:ind w:left="6151" w:hanging="360"/>
      </w:pPr>
    </w:lvl>
    <w:lvl w:ilvl="8" w:tplc="38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3B014F70"/>
    <w:multiLevelType w:val="hybridMultilevel"/>
    <w:tmpl w:val="3EFCC9E0"/>
    <w:lvl w:ilvl="0" w:tplc="44803D86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FC0765F"/>
    <w:multiLevelType w:val="hybridMultilevel"/>
    <w:tmpl w:val="A3769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B08A7"/>
    <w:multiLevelType w:val="multilevel"/>
    <w:tmpl w:val="44FB08A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521CC9"/>
    <w:multiLevelType w:val="hybridMultilevel"/>
    <w:tmpl w:val="326473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159AC"/>
    <w:multiLevelType w:val="hybridMultilevel"/>
    <w:tmpl w:val="E8B28C70"/>
    <w:lvl w:ilvl="0" w:tplc="38090019">
      <w:start w:val="1"/>
      <w:numFmt w:val="lowerLetter"/>
      <w:lvlText w:val="%1."/>
      <w:lvlJc w:val="left"/>
      <w:pPr>
        <w:ind w:left="1188" w:hanging="360"/>
      </w:pPr>
    </w:lvl>
    <w:lvl w:ilvl="1" w:tplc="38090019">
      <w:start w:val="1"/>
      <w:numFmt w:val="lowerLetter"/>
      <w:lvlText w:val="%2."/>
      <w:lvlJc w:val="left"/>
      <w:pPr>
        <w:ind w:left="1908" w:hanging="360"/>
      </w:pPr>
    </w:lvl>
    <w:lvl w:ilvl="2" w:tplc="3809001B">
      <w:start w:val="1"/>
      <w:numFmt w:val="lowerRoman"/>
      <w:lvlText w:val="%3."/>
      <w:lvlJc w:val="right"/>
      <w:pPr>
        <w:ind w:left="2628" w:hanging="180"/>
      </w:pPr>
    </w:lvl>
    <w:lvl w:ilvl="3" w:tplc="3809000F">
      <w:start w:val="1"/>
      <w:numFmt w:val="decimal"/>
      <w:lvlText w:val="%4."/>
      <w:lvlJc w:val="left"/>
      <w:pPr>
        <w:ind w:left="3348" w:hanging="360"/>
      </w:pPr>
    </w:lvl>
    <w:lvl w:ilvl="4" w:tplc="38090019">
      <w:start w:val="1"/>
      <w:numFmt w:val="lowerLetter"/>
      <w:lvlText w:val="%5."/>
      <w:lvlJc w:val="left"/>
      <w:pPr>
        <w:ind w:left="4068" w:hanging="360"/>
      </w:pPr>
    </w:lvl>
    <w:lvl w:ilvl="5" w:tplc="3809001B">
      <w:start w:val="1"/>
      <w:numFmt w:val="lowerRoman"/>
      <w:lvlText w:val="%6."/>
      <w:lvlJc w:val="right"/>
      <w:pPr>
        <w:ind w:left="4788" w:hanging="180"/>
      </w:pPr>
    </w:lvl>
    <w:lvl w:ilvl="6" w:tplc="3809000F">
      <w:start w:val="1"/>
      <w:numFmt w:val="decimal"/>
      <w:lvlText w:val="%7."/>
      <w:lvlJc w:val="left"/>
      <w:pPr>
        <w:ind w:left="5508" w:hanging="360"/>
      </w:pPr>
    </w:lvl>
    <w:lvl w:ilvl="7" w:tplc="38090019">
      <w:start w:val="1"/>
      <w:numFmt w:val="lowerLetter"/>
      <w:lvlText w:val="%8."/>
      <w:lvlJc w:val="left"/>
      <w:pPr>
        <w:ind w:left="6228" w:hanging="360"/>
      </w:pPr>
    </w:lvl>
    <w:lvl w:ilvl="8" w:tplc="3809001B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4A991B20"/>
    <w:multiLevelType w:val="hybridMultilevel"/>
    <w:tmpl w:val="32CE65A4"/>
    <w:lvl w:ilvl="0" w:tplc="BA20DEE2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56F8436D"/>
    <w:multiLevelType w:val="hybridMultilevel"/>
    <w:tmpl w:val="DD6C17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2663"/>
    <w:multiLevelType w:val="hybridMultilevel"/>
    <w:tmpl w:val="D8002EA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1E50"/>
    <w:multiLevelType w:val="hybridMultilevel"/>
    <w:tmpl w:val="77D6D14C"/>
    <w:lvl w:ilvl="0" w:tplc="DAC8AF84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CCB0835"/>
    <w:multiLevelType w:val="hybridMultilevel"/>
    <w:tmpl w:val="8E46B13C"/>
    <w:lvl w:ilvl="0" w:tplc="CFCC4618">
      <w:start w:val="1"/>
      <w:numFmt w:val="lowerLetter"/>
      <w:lvlText w:val="%1."/>
      <w:lvlJc w:val="left"/>
      <w:pPr>
        <w:ind w:left="1004" w:hanging="360"/>
      </w:pPr>
      <w:rPr>
        <w:rFonts w:ascii="Bookman Old Style" w:hAnsi="Bookman Old Style" w:hint="default"/>
        <w:color w:val="auto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E80D16"/>
    <w:multiLevelType w:val="hybridMultilevel"/>
    <w:tmpl w:val="5E3479FE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1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6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A5"/>
    <w:rsid w:val="00002C20"/>
    <w:rsid w:val="00036B92"/>
    <w:rsid w:val="00044CDC"/>
    <w:rsid w:val="00067DFF"/>
    <w:rsid w:val="00090518"/>
    <w:rsid w:val="000A792D"/>
    <w:rsid w:val="000D61C5"/>
    <w:rsid w:val="000E130F"/>
    <w:rsid w:val="001302A9"/>
    <w:rsid w:val="001302F5"/>
    <w:rsid w:val="00150D9B"/>
    <w:rsid w:val="00152FFD"/>
    <w:rsid w:val="00171990"/>
    <w:rsid w:val="001A094A"/>
    <w:rsid w:val="001E3488"/>
    <w:rsid w:val="001F1F32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32F2A"/>
    <w:rsid w:val="00446AD4"/>
    <w:rsid w:val="00462072"/>
    <w:rsid w:val="004631C1"/>
    <w:rsid w:val="0049002D"/>
    <w:rsid w:val="004A05AD"/>
    <w:rsid w:val="004A6E2D"/>
    <w:rsid w:val="004B6127"/>
    <w:rsid w:val="004F594C"/>
    <w:rsid w:val="005126FE"/>
    <w:rsid w:val="00524064"/>
    <w:rsid w:val="00532677"/>
    <w:rsid w:val="00532A27"/>
    <w:rsid w:val="00547992"/>
    <w:rsid w:val="00547AC1"/>
    <w:rsid w:val="00561814"/>
    <w:rsid w:val="00585EFF"/>
    <w:rsid w:val="00597EDE"/>
    <w:rsid w:val="005C62BA"/>
    <w:rsid w:val="005E1C41"/>
    <w:rsid w:val="00605283"/>
    <w:rsid w:val="00642A38"/>
    <w:rsid w:val="006A522B"/>
    <w:rsid w:val="00705D40"/>
    <w:rsid w:val="007130E1"/>
    <w:rsid w:val="00761FBC"/>
    <w:rsid w:val="007C0904"/>
    <w:rsid w:val="007C6EDA"/>
    <w:rsid w:val="007E035C"/>
    <w:rsid w:val="007E2C63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66A35"/>
    <w:rsid w:val="0097050B"/>
    <w:rsid w:val="00970B2F"/>
    <w:rsid w:val="00974558"/>
    <w:rsid w:val="00994788"/>
    <w:rsid w:val="009D281F"/>
    <w:rsid w:val="009D405D"/>
    <w:rsid w:val="00A071D6"/>
    <w:rsid w:val="00A111C3"/>
    <w:rsid w:val="00A20C3B"/>
    <w:rsid w:val="00A211BA"/>
    <w:rsid w:val="00A544A4"/>
    <w:rsid w:val="00A54CE4"/>
    <w:rsid w:val="00A66A1D"/>
    <w:rsid w:val="00A85569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6419"/>
    <w:rsid w:val="00C50255"/>
    <w:rsid w:val="00C8042C"/>
    <w:rsid w:val="00CE0E26"/>
    <w:rsid w:val="00D12355"/>
    <w:rsid w:val="00D20A86"/>
    <w:rsid w:val="00D31CE8"/>
    <w:rsid w:val="00D36B32"/>
    <w:rsid w:val="00D4372E"/>
    <w:rsid w:val="00D463AC"/>
    <w:rsid w:val="00D908F8"/>
    <w:rsid w:val="00DB6E56"/>
    <w:rsid w:val="00DC6FBA"/>
    <w:rsid w:val="00DD7197"/>
    <w:rsid w:val="00E1721D"/>
    <w:rsid w:val="00E951A5"/>
    <w:rsid w:val="00E95FB6"/>
    <w:rsid w:val="00EB47B8"/>
    <w:rsid w:val="00F06C54"/>
    <w:rsid w:val="00F12D3A"/>
    <w:rsid w:val="00F66869"/>
    <w:rsid w:val="00F83CBB"/>
    <w:rsid w:val="00FB6693"/>
    <w:rsid w:val="00FC2382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D8E3D956-DA9A-4E2A-ADBE-C55D7CB0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532A27"/>
    <w:pPr>
      <w:spacing w:after="200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qFormat/>
    <w:rsid w:val="00532A27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C4B5D-6128-4BAB-83DB-D424D3F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</dc:creator>
  <cp:keywords/>
  <dc:description/>
  <cp:lastModifiedBy>PTA Padang</cp:lastModifiedBy>
  <cp:revision>7</cp:revision>
  <cp:lastPrinted>2022-12-19T02:57:00Z</cp:lastPrinted>
  <dcterms:created xsi:type="dcterms:W3CDTF">2022-08-08T08:51:00Z</dcterms:created>
  <dcterms:modified xsi:type="dcterms:W3CDTF">2022-12-21T02:01:00Z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