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FA4D" w14:textId="7798398F" w:rsidR="00D27FDB" w:rsidRPr="00E5372C" w:rsidRDefault="00FB5FE3" w:rsidP="00484203">
      <w:pPr>
        <w:jc w:val="center"/>
        <w:rPr>
          <w:sz w:val="22"/>
          <w:szCs w:val="22"/>
          <w:lang w:val="en-US"/>
        </w:rPr>
      </w:pPr>
      <w:r w:rsidRPr="00E5372C">
        <w:rPr>
          <w:noProof/>
          <w:sz w:val="22"/>
          <w:szCs w:val="22"/>
          <w:lang w:val="en-US" w:eastAsia="en-US"/>
        </w:rPr>
        <w:drawing>
          <wp:inline distT="0" distB="0" distL="0" distR="0" wp14:anchorId="31666B33" wp14:editId="5D246A0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E5372C" w:rsidRDefault="00D27FDB" w:rsidP="00484203">
      <w:pPr>
        <w:jc w:val="center"/>
        <w:rPr>
          <w:rFonts w:ascii="Book Antiqua" w:hAnsi="Book Antiqua"/>
          <w:b/>
          <w:sz w:val="22"/>
          <w:szCs w:val="22"/>
          <w:lang w:val="en-US"/>
        </w:rPr>
      </w:pPr>
    </w:p>
    <w:p w14:paraId="732F874B" w14:textId="77777777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>KEPUTUSAN KETUA PENGADILAN TINGGI AGAMA PADANG</w:t>
      </w:r>
    </w:p>
    <w:p w14:paraId="10B7CC8C" w14:textId="5F355961" w:rsidR="00A6452B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 xml:space="preserve">NOMOR: </w:t>
      </w:r>
      <w:bookmarkStart w:id="0" w:name="_Hlk123282680"/>
      <w:bookmarkStart w:id="1" w:name="_GoBack"/>
      <w:r w:rsidR="00541488" w:rsidRPr="00541488">
        <w:rPr>
          <w:rFonts w:ascii="Bookman Old Style" w:hAnsi="Bookman Old Style"/>
          <w:bCs/>
          <w:sz w:val="22"/>
          <w:szCs w:val="22"/>
          <w:lang w:val="en-US"/>
        </w:rPr>
        <w:t>W3-A/1317.a/OT.01.1/IV/2022</w:t>
      </w:r>
      <w:bookmarkEnd w:id="0"/>
      <w:bookmarkEnd w:id="1"/>
    </w:p>
    <w:p w14:paraId="2F41FDAC" w14:textId="77777777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</w:rPr>
      </w:pPr>
    </w:p>
    <w:p w14:paraId="6A815CAC" w14:textId="5A31A467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>TENTANG</w:t>
      </w:r>
    </w:p>
    <w:p w14:paraId="3D7CEABF" w14:textId="77777777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</w:p>
    <w:p w14:paraId="7FCD1FA7" w14:textId="77777777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>PENETAPAN REVIU INDIKATOR KINERJA UTAMA</w:t>
      </w:r>
    </w:p>
    <w:p w14:paraId="7B443C74" w14:textId="77777777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>PENGADILAN TINGGI AGAMA PADANG</w:t>
      </w:r>
    </w:p>
    <w:p w14:paraId="03D038D6" w14:textId="710CADCE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>TAHUN 202</w:t>
      </w:r>
      <w:r w:rsidR="007C5BE9">
        <w:rPr>
          <w:rFonts w:ascii="Bookman Old Style" w:hAnsi="Bookman Old Style"/>
          <w:bCs/>
          <w:sz w:val="22"/>
          <w:szCs w:val="22"/>
          <w:lang w:val="en-US"/>
        </w:rPr>
        <w:t>2</w:t>
      </w:r>
    </w:p>
    <w:p w14:paraId="33F87404" w14:textId="77777777" w:rsidR="00BF42D6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</w:p>
    <w:p w14:paraId="156DD670" w14:textId="20ACB089" w:rsidR="00A6452B" w:rsidRPr="00E5372C" w:rsidRDefault="00BF42D6" w:rsidP="00BF42D6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>KETUA PENGADILAN TINGGI AGAMA PADANG</w:t>
      </w:r>
    </w:p>
    <w:p w14:paraId="1BFD2999" w14:textId="77777777" w:rsidR="00BF42D6" w:rsidRPr="00E5372C" w:rsidRDefault="00BF42D6" w:rsidP="00BF42D6">
      <w:pPr>
        <w:jc w:val="center"/>
        <w:rPr>
          <w:rFonts w:ascii="Franklin Gothic Book" w:hAnsi="Franklin Gothic Book"/>
          <w:sz w:val="22"/>
          <w:szCs w:val="22"/>
          <w:lang w:val="en-US"/>
        </w:rPr>
      </w:pPr>
    </w:p>
    <w:p w14:paraId="31C83957" w14:textId="2E59F2AA" w:rsidR="00180DEA" w:rsidRPr="00E5372C" w:rsidRDefault="00180DEA" w:rsidP="004B1ECE">
      <w:pPr>
        <w:tabs>
          <w:tab w:val="left" w:pos="1498"/>
          <w:tab w:val="left" w:pos="1843"/>
        </w:tabs>
        <w:spacing w:line="276" w:lineRule="auto"/>
        <w:ind w:left="2126" w:hanging="2127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Menimbang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  <w:t xml:space="preserve">a.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Bahwa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mewujudkan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Utama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Tinggi Agama</w:t>
      </w:r>
      <w:r w:rsidR="00BF42D6" w:rsidRPr="00E5372C">
        <w:rPr>
          <w:rFonts w:ascii="Bookman Old Style" w:hAnsi="Bookman Old Style"/>
          <w:sz w:val="22"/>
          <w:szCs w:val="22"/>
          <w:lang w:val="en-US"/>
        </w:rPr>
        <w:tab/>
        <w:t xml:space="preserve">Padang yang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memenuhi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kriteria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SMART;</w:t>
      </w:r>
    </w:p>
    <w:p w14:paraId="694C905A" w14:textId="0E749F2A" w:rsidR="00180DEA" w:rsidRPr="00E5372C" w:rsidRDefault="00BF42D6" w:rsidP="004B1ECE">
      <w:pPr>
        <w:numPr>
          <w:ilvl w:val="0"/>
          <w:numId w:val="1"/>
        </w:numPr>
        <w:tabs>
          <w:tab w:val="clear" w:pos="2700"/>
          <w:tab w:val="left" w:pos="1526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Telah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dilakukannya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asistensi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Utama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2021 oleh evaluator Badan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Pengawasan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Agung RI</w:t>
      </w:r>
      <w:r w:rsidR="00E374BF" w:rsidRPr="00E5372C">
        <w:rPr>
          <w:rFonts w:ascii="Bookman Old Style" w:hAnsi="Bookman Old Style"/>
          <w:sz w:val="22"/>
          <w:szCs w:val="22"/>
        </w:rPr>
        <w:t>;</w:t>
      </w:r>
    </w:p>
    <w:p w14:paraId="394AAD0E" w14:textId="7C5DE914" w:rsidR="00A6452B" w:rsidRPr="00E5372C" w:rsidRDefault="00A6452B" w:rsidP="004B1EC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0DDBC32" w14:textId="5E3B6ABA" w:rsidR="00314133" w:rsidRPr="00E5372C" w:rsidRDefault="00A6452B" w:rsidP="004B1ECE">
      <w:pPr>
        <w:tabs>
          <w:tab w:val="left" w:pos="1484"/>
          <w:tab w:val="left" w:pos="1843"/>
        </w:tabs>
        <w:spacing w:line="276" w:lineRule="auto"/>
        <w:ind w:left="2126" w:hanging="212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Mengingat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  <w:t xml:space="preserve">1. </w:t>
      </w:r>
      <w:r w:rsidR="006C64F5" w:rsidRPr="00E5372C">
        <w:rPr>
          <w:rFonts w:ascii="Bookman Old Style" w:hAnsi="Bookman Old Style"/>
          <w:sz w:val="22"/>
          <w:szCs w:val="22"/>
        </w:rPr>
        <w:tab/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3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Perubahan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Kedua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atas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 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14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1985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42D6" w:rsidRPr="00E5372C"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 w:rsidR="00BF42D6" w:rsidRPr="00E5372C">
        <w:rPr>
          <w:rFonts w:ascii="Bookman Old Style" w:hAnsi="Bookman Old Style"/>
          <w:sz w:val="22"/>
          <w:szCs w:val="22"/>
          <w:lang w:val="en-US"/>
        </w:rPr>
        <w:t xml:space="preserve"> Agung;</w:t>
      </w:r>
    </w:p>
    <w:p w14:paraId="55896FED" w14:textId="408B5E16" w:rsidR="00314133" w:rsidRPr="00E5372C" w:rsidRDefault="00BF42D6" w:rsidP="004B1ECE">
      <w:pPr>
        <w:numPr>
          <w:ilvl w:val="0"/>
          <w:numId w:val="2"/>
        </w:numPr>
        <w:tabs>
          <w:tab w:val="clear" w:pos="2700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48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Kekuasaan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Kehakiman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>.</w:t>
      </w:r>
      <w:r w:rsidR="00314133" w:rsidRPr="00E5372C">
        <w:rPr>
          <w:rFonts w:ascii="Bookman Old Style" w:hAnsi="Bookman Old Style"/>
          <w:sz w:val="22"/>
          <w:szCs w:val="22"/>
          <w:lang w:val="en-US"/>
        </w:rPr>
        <w:t>;</w:t>
      </w:r>
    </w:p>
    <w:p w14:paraId="1497C5EC" w14:textId="60DF2ED9" w:rsidR="00122F1D" w:rsidRPr="00E5372C" w:rsidRDefault="00BF42D6" w:rsidP="004B1ECE">
      <w:pPr>
        <w:numPr>
          <w:ilvl w:val="0"/>
          <w:numId w:val="2"/>
        </w:numPr>
        <w:tabs>
          <w:tab w:val="clear" w:pos="2700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50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Agama</w:t>
      </w:r>
      <w:r w:rsidR="00122F1D" w:rsidRPr="00E5372C">
        <w:rPr>
          <w:rFonts w:ascii="Bookman Old Style" w:hAnsi="Bookman Old Style"/>
          <w:sz w:val="22"/>
          <w:szCs w:val="22"/>
          <w:lang w:val="en-US"/>
        </w:rPr>
        <w:t>;</w:t>
      </w:r>
    </w:p>
    <w:p w14:paraId="6D151977" w14:textId="555944E1" w:rsidR="00BF42D6" w:rsidRPr="00E5372C" w:rsidRDefault="00BF42D6" w:rsidP="004B1ECE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Peraturan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Presiden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29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2014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Sistem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Instansi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Pemerintah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>;</w:t>
      </w:r>
    </w:p>
    <w:p w14:paraId="5CB45A2E" w14:textId="6941A579" w:rsidR="00BF42D6" w:rsidRPr="00E5372C" w:rsidRDefault="00BF42D6" w:rsidP="004B1ECE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Permenpan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53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2014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Petunjuk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Teknis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Perjanjian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Pelaporan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, dan Tata Cara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atas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Laporan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Instansi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Pemerintah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>;</w:t>
      </w:r>
    </w:p>
    <w:p w14:paraId="1A5AF318" w14:textId="3EE7BF53" w:rsidR="00BF42D6" w:rsidRPr="00E5372C" w:rsidRDefault="00BF42D6" w:rsidP="004B1ECE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Peraturan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Agung RI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7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2015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Organisasi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dan Tata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Kerja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Kepaniteraan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Kesekretariatan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perubahannya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>;</w:t>
      </w:r>
    </w:p>
    <w:p w14:paraId="16760AEC" w14:textId="072D147A" w:rsidR="00BF42D6" w:rsidRPr="00E5372C" w:rsidRDefault="00BF42D6" w:rsidP="004B1ECE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5372C">
        <w:rPr>
          <w:rFonts w:ascii="Bookman Old Style" w:hAnsi="Bookman Old Style"/>
          <w:sz w:val="22"/>
          <w:szCs w:val="22"/>
          <w:lang w:val="en-US"/>
        </w:rPr>
        <w:t xml:space="preserve">Keputusan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Sekretaris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Agung RI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237A/SEK/SK/V/2020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Straegis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Agung </w:t>
      </w: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 w:rsidRPr="00E5372C">
        <w:rPr>
          <w:rFonts w:ascii="Bookman Old Style" w:hAnsi="Bookman Old Style"/>
          <w:sz w:val="22"/>
          <w:szCs w:val="22"/>
          <w:lang w:val="en-US"/>
        </w:rPr>
        <w:t xml:space="preserve"> 2020-2024;</w:t>
      </w:r>
    </w:p>
    <w:p w14:paraId="1D90A01D" w14:textId="77777777" w:rsidR="00953482" w:rsidRPr="00E5372C" w:rsidRDefault="00953482" w:rsidP="0027252C">
      <w:pPr>
        <w:ind w:left="2126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14:paraId="505B46E9" w14:textId="73332681" w:rsidR="00ED0BC3" w:rsidRPr="00E5372C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Franklin Gothic Book" w:hAnsi="Franklin Gothic Book"/>
          <w:sz w:val="22"/>
          <w:szCs w:val="22"/>
          <w:lang w:val="en-US"/>
        </w:rPr>
      </w:pPr>
      <w:r w:rsidRPr="00E5372C">
        <w:rPr>
          <w:rFonts w:ascii="Franklin Gothic Book" w:hAnsi="Franklin Gothic Book"/>
          <w:sz w:val="22"/>
          <w:szCs w:val="22"/>
          <w:lang w:val="en-US"/>
        </w:rPr>
        <w:t xml:space="preserve"> </w:t>
      </w:r>
    </w:p>
    <w:p w14:paraId="0C590985" w14:textId="39C35A4C" w:rsidR="00BF42D6" w:rsidRDefault="00BF42D6" w:rsidP="004B1ECE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5372C">
        <w:rPr>
          <w:rFonts w:ascii="Bookman Old Style" w:hAnsi="Bookman Old Style"/>
          <w:sz w:val="22"/>
          <w:szCs w:val="22"/>
          <w:lang w:val="en-US"/>
        </w:rPr>
        <w:t>Memperhatikan</w:t>
      </w:r>
      <w:proofErr w:type="spellEnd"/>
      <w:r w:rsidR="00E5372C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E5372C">
        <w:rPr>
          <w:rFonts w:ascii="Bookman Old Style" w:hAnsi="Bookman Old Style"/>
          <w:sz w:val="22"/>
          <w:szCs w:val="22"/>
          <w:lang w:val="en-US"/>
        </w:rPr>
        <w:tab/>
      </w:r>
      <w:r w:rsidR="00E5372C" w:rsidRPr="00E5372C">
        <w:rPr>
          <w:rFonts w:ascii="Bookman Old Style" w:hAnsi="Bookman Old Style"/>
          <w:sz w:val="22"/>
          <w:szCs w:val="22"/>
          <w:lang w:val="en-US"/>
        </w:rPr>
        <w:t xml:space="preserve">Hasil </w:t>
      </w:r>
      <w:proofErr w:type="spellStart"/>
      <w:r w:rsidR="00E5372C" w:rsidRPr="00E5372C">
        <w:rPr>
          <w:rFonts w:ascii="Bookman Old Style" w:hAnsi="Bookman Old Style"/>
          <w:sz w:val="22"/>
          <w:szCs w:val="22"/>
          <w:lang w:val="en-US"/>
        </w:rPr>
        <w:t>Rapat</w:t>
      </w:r>
      <w:proofErr w:type="spellEnd"/>
      <w:r w:rsidR="00E5372C" w:rsidRPr="00E5372C">
        <w:rPr>
          <w:rFonts w:ascii="Bookman Old Style" w:hAnsi="Bookman Old Style"/>
          <w:sz w:val="22"/>
          <w:szCs w:val="22"/>
          <w:lang w:val="en-US"/>
        </w:rPr>
        <w:t xml:space="preserve"> Tim </w:t>
      </w:r>
      <w:proofErr w:type="spellStart"/>
      <w:r w:rsidR="00E5372C" w:rsidRPr="00E5372C"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 w:rsidR="00E5372C" w:rsidRPr="00E5372C">
        <w:rPr>
          <w:rFonts w:ascii="Bookman Old Style" w:hAnsi="Bookman Old Style"/>
          <w:sz w:val="22"/>
          <w:szCs w:val="22"/>
          <w:lang w:val="en-US"/>
        </w:rPr>
        <w:t xml:space="preserve"> IKU </w:t>
      </w:r>
      <w:proofErr w:type="spellStart"/>
      <w:r w:rsidR="00E5372C" w:rsidRPr="00E5372C"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 w:rsidR="00E5372C" w:rsidRPr="00E5372C">
        <w:rPr>
          <w:rFonts w:ascii="Bookman Old Style" w:hAnsi="Bookman Old Style"/>
          <w:sz w:val="22"/>
          <w:szCs w:val="22"/>
          <w:lang w:val="en-US"/>
        </w:rPr>
        <w:t xml:space="preserve"> 15 November 2021 </w:t>
      </w:r>
      <w:proofErr w:type="spellStart"/>
      <w:r w:rsidR="00E5372C" w:rsidRPr="00E5372C"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 w:rsidR="00E5372C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5372C" w:rsidRPr="00E5372C">
        <w:rPr>
          <w:rFonts w:ascii="Bookman Old Style" w:hAnsi="Bookman Old Style"/>
          <w:sz w:val="22"/>
          <w:szCs w:val="22"/>
          <w:lang w:val="en-US"/>
        </w:rPr>
        <w:t>Pembahasan</w:t>
      </w:r>
      <w:proofErr w:type="spellEnd"/>
      <w:r w:rsidR="00E5372C" w:rsidRPr="00E5372C">
        <w:rPr>
          <w:rFonts w:ascii="Bookman Old Style" w:hAnsi="Bookman Old Style"/>
          <w:sz w:val="22"/>
          <w:szCs w:val="22"/>
          <w:lang w:val="en-US"/>
        </w:rPr>
        <w:t xml:space="preserve"> IKU</w:t>
      </w:r>
      <w:r w:rsid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5372C" w:rsidRPr="00E5372C">
        <w:rPr>
          <w:rFonts w:ascii="Bookman Old Style" w:hAnsi="Bookman Old Style"/>
          <w:sz w:val="22"/>
          <w:szCs w:val="22"/>
          <w:lang w:val="en-US"/>
        </w:rPr>
        <w:t>PTA Padang</w:t>
      </w:r>
      <w:r w:rsidR="00E5372C">
        <w:rPr>
          <w:rFonts w:ascii="Bookman Old Style" w:hAnsi="Bookman Old Style"/>
          <w:sz w:val="22"/>
          <w:szCs w:val="22"/>
          <w:lang w:val="en-US"/>
        </w:rPr>
        <w:t>;</w:t>
      </w:r>
    </w:p>
    <w:p w14:paraId="4D68E6E6" w14:textId="53DBFE9B" w:rsidR="00E5372C" w:rsidRPr="00E5372C" w:rsidRDefault="00E5372C" w:rsidP="004B1ECE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8BC3255" w14:textId="396DEE0F" w:rsidR="00ED0BC3" w:rsidRPr="00E5372C" w:rsidRDefault="00ED0BC3" w:rsidP="004B1ECE">
      <w:pPr>
        <w:spacing w:line="276" w:lineRule="auto"/>
        <w:ind w:left="1843" w:hanging="1843"/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 w:rsidRPr="00E5372C">
        <w:rPr>
          <w:rFonts w:ascii="Bookman Old Style" w:hAnsi="Bookman Old Style"/>
          <w:bCs/>
          <w:sz w:val="22"/>
          <w:szCs w:val="22"/>
          <w:lang w:val="en-US"/>
        </w:rPr>
        <w:t>M E M U T U S K A N</w:t>
      </w:r>
    </w:p>
    <w:p w14:paraId="46E3D0FA" w14:textId="23019C4C" w:rsidR="00ED0BC3" w:rsidRPr="00E5372C" w:rsidRDefault="00ED0BC3" w:rsidP="004B1ECE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bCs/>
          <w:sz w:val="22"/>
          <w:szCs w:val="22"/>
          <w:lang w:val="en-US"/>
        </w:rPr>
      </w:pPr>
    </w:p>
    <w:p w14:paraId="7EE6779D" w14:textId="284085E7" w:rsidR="00ED0BC3" w:rsidRDefault="00ED0BC3" w:rsidP="004B1EC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5372C">
        <w:rPr>
          <w:rFonts w:ascii="Bookman Old Style" w:hAnsi="Bookman Old Style"/>
          <w:bCs/>
          <w:sz w:val="22"/>
          <w:szCs w:val="22"/>
          <w:lang w:val="en-US"/>
        </w:rPr>
        <w:t>Menetapkan</w:t>
      </w:r>
      <w:proofErr w:type="spellEnd"/>
      <w:r w:rsidRPr="00E5372C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r w:rsidRPr="00E5372C">
        <w:rPr>
          <w:rFonts w:ascii="Bookman Old Style" w:hAnsi="Bookman Old Style"/>
          <w:bCs/>
          <w:sz w:val="22"/>
          <w:szCs w:val="22"/>
          <w:lang w:val="en-US"/>
        </w:rPr>
        <w:tab/>
        <w:t xml:space="preserve">: </w:t>
      </w:r>
      <w:r w:rsidRPr="00E5372C">
        <w:rPr>
          <w:rFonts w:ascii="Bookman Old Style" w:hAnsi="Bookman Old Style"/>
          <w:bCs/>
          <w:sz w:val="22"/>
          <w:szCs w:val="22"/>
          <w:lang w:val="en-US"/>
        </w:rPr>
        <w:tab/>
      </w:r>
      <w:r w:rsidR="0091687B" w:rsidRPr="0091687B">
        <w:rPr>
          <w:rFonts w:ascii="Bookman Old Style" w:hAnsi="Bookman Old Style"/>
          <w:sz w:val="22"/>
          <w:szCs w:val="22"/>
          <w:lang w:val="en-US"/>
        </w:rPr>
        <w:t>KEPUTUSAN KETUA PENGADILAN TINGGI AGAMA PADANG TENTANG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687B" w:rsidRPr="0091687B">
        <w:rPr>
          <w:rFonts w:ascii="Bookman Old Style" w:hAnsi="Bookman Old Style"/>
          <w:sz w:val="22"/>
          <w:szCs w:val="22"/>
          <w:lang w:val="en-US"/>
        </w:rPr>
        <w:t>PENETAPAN REVIU INDIKATOR KINERJA UTAMA PENGADILAN TINGGI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687B" w:rsidRPr="0091687B">
        <w:rPr>
          <w:rFonts w:ascii="Bookman Old Style" w:hAnsi="Bookman Old Style"/>
          <w:sz w:val="22"/>
          <w:szCs w:val="22"/>
          <w:lang w:val="en-US"/>
        </w:rPr>
        <w:t>AGAMA PADANG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687B" w:rsidRPr="0091687B">
        <w:rPr>
          <w:rFonts w:ascii="Bookman Old Style" w:hAnsi="Bookman Old Style"/>
          <w:sz w:val="22"/>
          <w:szCs w:val="22"/>
          <w:lang w:val="en-US"/>
        </w:rPr>
        <w:t>TAHUN 2021</w:t>
      </w:r>
      <w:r w:rsidR="0091687B">
        <w:rPr>
          <w:rFonts w:ascii="Bookman Old Style" w:hAnsi="Bookman Old Style"/>
          <w:sz w:val="22"/>
          <w:szCs w:val="22"/>
          <w:lang w:val="en-US"/>
        </w:rPr>
        <w:t>;</w:t>
      </w:r>
    </w:p>
    <w:p w14:paraId="6901B141" w14:textId="77777777" w:rsidR="0091687B" w:rsidRPr="0091687B" w:rsidRDefault="0091687B" w:rsidP="004B1EC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74253C10" w14:textId="504E0452" w:rsidR="006C64F5" w:rsidRPr="0091687B" w:rsidRDefault="00FF4BFE" w:rsidP="004B1EC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 w:rsidRPr="00E5372C">
        <w:rPr>
          <w:rFonts w:ascii="Bookman Old Style" w:hAnsi="Bookman Old Style"/>
          <w:sz w:val="22"/>
          <w:szCs w:val="22"/>
        </w:rPr>
        <w:t>KESATU</w:t>
      </w:r>
      <w:r w:rsidR="009F5368" w:rsidRPr="00E5372C">
        <w:rPr>
          <w:rFonts w:ascii="Bookman Old Style" w:hAnsi="Bookman Old Style"/>
          <w:sz w:val="22"/>
          <w:szCs w:val="22"/>
        </w:rPr>
        <w:t xml:space="preserve"> </w:t>
      </w:r>
      <w:r w:rsidR="00ED0BC3" w:rsidRPr="00E5372C">
        <w:rPr>
          <w:rFonts w:ascii="Bookman Old Style" w:hAnsi="Bookman Old Style"/>
          <w:sz w:val="22"/>
          <w:szCs w:val="22"/>
        </w:rPr>
        <w:tab/>
        <w:t xml:space="preserve">: </w:t>
      </w:r>
      <w:r w:rsidR="00ED0BC3" w:rsidRPr="00E5372C">
        <w:rPr>
          <w:rFonts w:ascii="Bookman Old Style" w:hAnsi="Bookman Old Style"/>
          <w:sz w:val="22"/>
          <w:szCs w:val="22"/>
        </w:rPr>
        <w:tab/>
      </w:r>
      <w:r w:rsidR="0091687B" w:rsidRPr="0091687B">
        <w:rPr>
          <w:rFonts w:ascii="Bookman Old Style" w:hAnsi="Bookman Old Style"/>
          <w:sz w:val="22"/>
          <w:szCs w:val="22"/>
        </w:rPr>
        <w:t>Indikator Kinerja Utama sebagaimana tercantum dalam lampiran peraturan ini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687B" w:rsidRPr="0091687B">
        <w:rPr>
          <w:rFonts w:ascii="Bookman Old Style" w:hAnsi="Bookman Old Style"/>
          <w:sz w:val="22"/>
          <w:szCs w:val="22"/>
        </w:rPr>
        <w:t>merupakan acuan kinerja yang digunakan oleh Pengadilan Tinggi Agama Padang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menetapkan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Tahunan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menyampaikan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dan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anggaran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menyusun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dokumen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penetapan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menyusun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Laporan</w:t>
      </w:r>
      <w:proofErr w:type="spellEnd"/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serta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melakukan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evaluasi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pencapaian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sesuai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dokumen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Strategis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Tinggi Agama Padang 2020-2024;</w:t>
      </w:r>
    </w:p>
    <w:p w14:paraId="271BA5A0" w14:textId="23C675B8" w:rsidR="0050264B" w:rsidRPr="00E5372C" w:rsidRDefault="009F5368" w:rsidP="004B1EC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E5372C">
        <w:rPr>
          <w:rFonts w:ascii="Bookman Old Style" w:hAnsi="Bookman Old Style"/>
          <w:sz w:val="22"/>
          <w:szCs w:val="22"/>
        </w:rPr>
        <w:lastRenderedPageBreak/>
        <w:t xml:space="preserve">KEDUA </w:t>
      </w:r>
      <w:r w:rsidR="00ED0BC3" w:rsidRPr="00E5372C">
        <w:rPr>
          <w:rFonts w:ascii="Bookman Old Style" w:hAnsi="Bookman Old Style"/>
          <w:sz w:val="22"/>
          <w:szCs w:val="22"/>
        </w:rPr>
        <w:tab/>
        <w:t xml:space="preserve">: </w:t>
      </w:r>
      <w:r w:rsidR="00ED0BC3" w:rsidRPr="00E5372C">
        <w:rPr>
          <w:rFonts w:ascii="Bookman Old Style" w:hAnsi="Bookman Old Style"/>
          <w:sz w:val="22"/>
          <w:szCs w:val="22"/>
        </w:rPr>
        <w:tab/>
      </w:r>
      <w:r w:rsidR="0091687B" w:rsidRPr="0091687B">
        <w:rPr>
          <w:rFonts w:ascii="Bookman Old Style" w:hAnsi="Bookman Old Style"/>
          <w:sz w:val="22"/>
          <w:szCs w:val="22"/>
        </w:rPr>
        <w:t>Penyusunan Laporan Kinerja Instansi Pemerintah dan Evaluasi terhadap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687B" w:rsidRPr="0091687B">
        <w:rPr>
          <w:rFonts w:ascii="Bookman Old Style" w:hAnsi="Bookman Old Style"/>
          <w:sz w:val="22"/>
          <w:szCs w:val="22"/>
        </w:rPr>
        <w:t>pencapaian kinerja dilakukan oleh setiap subbagian dan kepaniteraan muda</w:t>
      </w:r>
      <w:r w:rsid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687B" w:rsidRPr="0091687B">
        <w:rPr>
          <w:rFonts w:ascii="Bookman Old Style" w:hAnsi="Bookman Old Style"/>
          <w:sz w:val="22"/>
          <w:szCs w:val="22"/>
        </w:rPr>
        <w:t>untuk disampaikan kepada Ketua Pengadilan Tinggi Agama Padang</w:t>
      </w:r>
      <w:r w:rsidR="00475C29" w:rsidRPr="00E5372C">
        <w:rPr>
          <w:rFonts w:ascii="Bookman Old Style" w:hAnsi="Bookman Old Style"/>
          <w:sz w:val="22"/>
          <w:szCs w:val="22"/>
        </w:rPr>
        <w:t>;</w:t>
      </w:r>
    </w:p>
    <w:p w14:paraId="712C155E" w14:textId="77777777" w:rsidR="0091687B" w:rsidRDefault="0050264B" w:rsidP="004B1EC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 w:rsidRPr="00E5372C">
        <w:rPr>
          <w:rFonts w:ascii="Bookman Old Style" w:hAnsi="Bookman Old Style"/>
          <w:sz w:val="22"/>
          <w:szCs w:val="22"/>
          <w:lang w:val="en-US"/>
        </w:rPr>
        <w:t>KETIGA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Tujuan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Penetapan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Utama (IKU) </w:t>
      </w:r>
      <w:proofErr w:type="spellStart"/>
      <w:r w:rsidR="0091687B" w:rsidRPr="0091687B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="0091687B" w:rsidRPr="0091687B">
        <w:rPr>
          <w:rFonts w:ascii="Bookman Old Style" w:hAnsi="Bookman Old Style"/>
          <w:sz w:val="22"/>
          <w:szCs w:val="22"/>
          <w:lang w:val="en-US"/>
        </w:rPr>
        <w:t>adalah</w:t>
      </w:r>
      <w:proofErr w:type="spellEnd"/>
      <w:r w:rsidR="0091687B" w:rsidRPr="0091687B">
        <w:rPr>
          <w:rFonts w:ascii="Bookman Old Style" w:hAnsi="Bookman Old Style"/>
          <w:sz w:val="22"/>
          <w:szCs w:val="22"/>
          <w:lang w:val="en-US"/>
        </w:rPr>
        <w:t xml:space="preserve"> :</w:t>
      </w:r>
      <w:proofErr w:type="gramEnd"/>
    </w:p>
    <w:p w14:paraId="6DFACC55" w14:textId="77777777" w:rsidR="0091687B" w:rsidRDefault="0091687B" w:rsidP="004B1ECE">
      <w:pPr>
        <w:tabs>
          <w:tab w:val="left" w:pos="1843"/>
        </w:tabs>
        <w:spacing w:line="276" w:lineRule="auto"/>
        <w:ind w:left="2160" w:hanging="15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 w:rsidRPr="0091687B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memperoleh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informasi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capaian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diperlukan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menyelenggarakan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manajemen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>;</w:t>
      </w:r>
    </w:p>
    <w:p w14:paraId="6AADA903" w14:textId="7C6326F1" w:rsidR="0050264B" w:rsidRDefault="0091687B" w:rsidP="004B1ECE">
      <w:pPr>
        <w:tabs>
          <w:tab w:val="left" w:pos="1843"/>
        </w:tabs>
        <w:spacing w:line="276" w:lineRule="auto"/>
        <w:ind w:left="2160" w:hanging="15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2.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memperoleh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ukuran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keberhasilan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dari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Pencapaian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tujuan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sasaran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91687B">
        <w:rPr>
          <w:rFonts w:ascii="Bookman Old Style" w:hAnsi="Bookman Old Style"/>
          <w:sz w:val="22"/>
          <w:szCs w:val="22"/>
          <w:lang w:val="en-US"/>
        </w:rPr>
        <w:t xml:space="preserve">yang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digunakan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perbaikan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penguatan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91687B">
        <w:rPr>
          <w:rFonts w:ascii="Bookman Old Style" w:hAnsi="Bookman Old Style"/>
          <w:sz w:val="22"/>
          <w:szCs w:val="22"/>
          <w:lang w:val="en-US"/>
        </w:rPr>
        <w:t>kinerja.</w:t>
      </w:r>
      <w:r w:rsidR="0050264B" w:rsidRPr="00E5372C">
        <w:rPr>
          <w:rFonts w:ascii="Bookman Old Style" w:hAnsi="Bookman Old Style"/>
          <w:sz w:val="22"/>
          <w:szCs w:val="22"/>
          <w:lang w:val="en-US"/>
        </w:rPr>
        <w:t>Keputusan</w:t>
      </w:r>
      <w:proofErr w:type="spellEnd"/>
      <w:proofErr w:type="gram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berlaku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sejak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ditetapkan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ketentuan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bahwa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segala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sesuatu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akan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diubah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diperbaiki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C2B10" w:rsidRPr="00E5372C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BC2B10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C2B10" w:rsidRPr="00E5372C">
        <w:rPr>
          <w:rFonts w:ascii="Bookman Old Style" w:hAnsi="Bookman Old Style"/>
          <w:sz w:val="22"/>
          <w:szCs w:val="22"/>
          <w:lang w:val="en-US"/>
        </w:rPr>
        <w:t>mestinya</w:t>
      </w:r>
      <w:proofErr w:type="spellEnd"/>
      <w:r w:rsidR="00BC2B10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C2B10" w:rsidRPr="00E5372C">
        <w:rPr>
          <w:rFonts w:ascii="Bookman Old Style" w:hAnsi="Bookman Old Style"/>
          <w:sz w:val="22"/>
          <w:szCs w:val="22"/>
          <w:lang w:val="en-US"/>
        </w:rPr>
        <w:t>apabila</w:t>
      </w:r>
      <w:proofErr w:type="spellEnd"/>
      <w:r w:rsidR="00BC2B10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C2B10" w:rsidRPr="00E5372C">
        <w:rPr>
          <w:rFonts w:ascii="Bookman Old Style" w:hAnsi="Bookman Old Style"/>
          <w:sz w:val="22"/>
          <w:szCs w:val="22"/>
          <w:lang w:val="en-US"/>
        </w:rPr>
        <w:t>di</w:t>
      </w:r>
      <w:r w:rsidR="0050264B" w:rsidRPr="00E5372C">
        <w:rPr>
          <w:rFonts w:ascii="Bookman Old Style" w:hAnsi="Bookman Old Style"/>
          <w:sz w:val="22"/>
          <w:szCs w:val="22"/>
          <w:lang w:val="en-US"/>
        </w:rPr>
        <w:t>kemudian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hari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ternyata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terdapat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0264B" w:rsidRPr="00E5372C">
        <w:rPr>
          <w:rFonts w:ascii="Bookman Old Style" w:hAnsi="Bookman Old Style"/>
          <w:sz w:val="22"/>
          <w:szCs w:val="22"/>
          <w:lang w:val="en-US"/>
        </w:rPr>
        <w:t>kekeliruan</w:t>
      </w:r>
      <w:proofErr w:type="spellEnd"/>
      <w:r w:rsidR="0050264B" w:rsidRPr="00E5372C">
        <w:rPr>
          <w:rFonts w:ascii="Bookman Old Style" w:hAnsi="Bookman Old Style"/>
          <w:sz w:val="22"/>
          <w:szCs w:val="22"/>
          <w:lang w:val="en-US"/>
        </w:rPr>
        <w:t>.</w:t>
      </w:r>
    </w:p>
    <w:p w14:paraId="7BDA4C95" w14:textId="706F5583" w:rsidR="0091687B" w:rsidRDefault="0091687B" w:rsidP="004B1EC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 w:rsidRPr="00E5372C">
        <w:rPr>
          <w:rFonts w:ascii="Bookman Old Style" w:hAnsi="Bookman Old Style"/>
          <w:sz w:val="22"/>
          <w:szCs w:val="22"/>
          <w:lang w:val="en-US"/>
        </w:rPr>
        <w:t>KE</w:t>
      </w:r>
      <w:r>
        <w:rPr>
          <w:rFonts w:ascii="Bookman Old Style" w:hAnsi="Bookman Old Style"/>
          <w:sz w:val="22"/>
          <w:szCs w:val="22"/>
          <w:lang w:val="en-US"/>
        </w:rPr>
        <w:t>EMPAT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</w:r>
      <w:r w:rsidRPr="0091687B">
        <w:rPr>
          <w:rFonts w:ascii="Bookman Old Style" w:hAnsi="Bookman Old Style"/>
          <w:sz w:val="22"/>
          <w:szCs w:val="22"/>
          <w:lang w:val="en-US"/>
        </w:rPr>
        <w:t xml:space="preserve">Keputusan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mulai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berlaku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sejak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tetapkan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>.</w:t>
      </w:r>
    </w:p>
    <w:p w14:paraId="32081837" w14:textId="7CD67FAD" w:rsidR="0091687B" w:rsidRDefault="0091687B" w:rsidP="004B1EC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 w:rsidRPr="00E5372C">
        <w:rPr>
          <w:rFonts w:ascii="Bookman Old Style" w:hAnsi="Bookman Old Style"/>
          <w:sz w:val="22"/>
          <w:szCs w:val="22"/>
          <w:lang w:val="en-US"/>
        </w:rPr>
        <w:t>KE</w:t>
      </w:r>
      <w:r>
        <w:rPr>
          <w:rFonts w:ascii="Bookman Old Style" w:hAnsi="Bookman Old Style"/>
          <w:sz w:val="22"/>
          <w:szCs w:val="22"/>
          <w:lang w:val="en-US"/>
        </w:rPr>
        <w:t>LIMA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E5372C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Apabila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kemudian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hari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terdapat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kekeliruan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keputusan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maka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diadakan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perubahan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perbaikan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687B">
        <w:rPr>
          <w:rFonts w:ascii="Bookman Old Style" w:hAnsi="Bookman Old Style"/>
          <w:sz w:val="22"/>
          <w:szCs w:val="22"/>
          <w:lang w:val="en-US"/>
        </w:rPr>
        <w:t>mestinya</w:t>
      </w:r>
      <w:proofErr w:type="spellEnd"/>
      <w:r w:rsidRPr="0091687B">
        <w:rPr>
          <w:rFonts w:ascii="Bookman Old Style" w:hAnsi="Bookman Old Style"/>
          <w:sz w:val="22"/>
          <w:szCs w:val="22"/>
          <w:lang w:val="en-US"/>
        </w:rPr>
        <w:t>.</w:t>
      </w:r>
    </w:p>
    <w:p w14:paraId="02D9E2B1" w14:textId="77777777" w:rsidR="0091687B" w:rsidRPr="00E5372C" w:rsidRDefault="0091687B" w:rsidP="004B1ECE">
      <w:pPr>
        <w:tabs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2339D9A5" w14:textId="7C79F253" w:rsidR="00625C03" w:rsidRPr="00E5372C" w:rsidRDefault="00625C03" w:rsidP="004B1ECE">
      <w:pPr>
        <w:tabs>
          <w:tab w:val="left" w:pos="1980"/>
          <w:tab w:val="left" w:pos="2340"/>
        </w:tabs>
        <w:spacing w:line="276" w:lineRule="auto"/>
        <w:ind w:left="2340" w:hanging="2340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14:paraId="7D5F4496" w14:textId="47ECE2C4" w:rsidR="00625C03" w:rsidRPr="00E5372C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14:paraId="396A3C67" w14:textId="6CCC505E" w:rsidR="0029095D" w:rsidRPr="00E5372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2"/>
          <w:szCs w:val="22"/>
        </w:rPr>
      </w:pPr>
      <w:r w:rsidRPr="00E5372C">
        <w:rPr>
          <w:rFonts w:ascii="Bookman Old Style" w:hAnsi="Bookman Old Style"/>
          <w:sz w:val="22"/>
          <w:szCs w:val="22"/>
        </w:rPr>
        <w:t>Ditetapkan di Padang</w:t>
      </w:r>
    </w:p>
    <w:p w14:paraId="3B9C16AE" w14:textId="613672A9" w:rsidR="0029095D" w:rsidRPr="00E5372C" w:rsidRDefault="004B1ECE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1349B" wp14:editId="4750B67C">
            <wp:simplePos x="0" y="0"/>
            <wp:positionH relativeFrom="column">
              <wp:posOffset>2795270</wp:posOffset>
            </wp:positionH>
            <wp:positionV relativeFrom="paragraph">
              <wp:posOffset>66675</wp:posOffset>
            </wp:positionV>
            <wp:extent cx="1193800" cy="155194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95D" w:rsidRPr="00E5372C">
        <w:rPr>
          <w:rFonts w:ascii="Bookman Old Style" w:hAnsi="Bookman Old Style"/>
          <w:sz w:val="22"/>
          <w:szCs w:val="22"/>
        </w:rPr>
        <w:t xml:space="preserve">Pada tanggal </w:t>
      </w:r>
      <w:r w:rsidR="00096959" w:rsidRPr="00E5372C">
        <w:rPr>
          <w:rFonts w:ascii="Bookman Old Style" w:hAnsi="Bookman Old Style"/>
          <w:sz w:val="22"/>
          <w:szCs w:val="22"/>
          <w:lang w:val="en-US"/>
        </w:rPr>
        <w:t xml:space="preserve">    </w:t>
      </w:r>
      <w:proofErr w:type="spellStart"/>
      <w:r w:rsidR="00096959" w:rsidRPr="00E5372C">
        <w:rPr>
          <w:rFonts w:ascii="Bookman Old Style" w:hAnsi="Bookman Old Style"/>
          <w:sz w:val="22"/>
          <w:szCs w:val="22"/>
          <w:lang w:val="en-US"/>
        </w:rPr>
        <w:t>Desember</w:t>
      </w:r>
      <w:proofErr w:type="spellEnd"/>
      <w:r w:rsidR="009B4EB3" w:rsidRPr="00E5372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80DF1" w:rsidRPr="00E5372C">
        <w:rPr>
          <w:rFonts w:ascii="Bookman Old Style" w:hAnsi="Bookman Old Style"/>
          <w:sz w:val="22"/>
          <w:szCs w:val="22"/>
          <w:lang w:val="en-US"/>
        </w:rPr>
        <w:t>2022</w:t>
      </w:r>
    </w:p>
    <w:p w14:paraId="6E1EF430" w14:textId="6D3118DD" w:rsidR="0029095D" w:rsidRPr="00E5372C" w:rsidRDefault="004B1ECE" w:rsidP="00C80DF1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EFE57" wp14:editId="49799011">
            <wp:simplePos x="0" y="0"/>
            <wp:positionH relativeFrom="column">
              <wp:posOffset>3242945</wp:posOffset>
            </wp:positionH>
            <wp:positionV relativeFrom="paragraph">
              <wp:posOffset>197485</wp:posOffset>
            </wp:positionV>
            <wp:extent cx="1746885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95D" w:rsidRPr="00E5372C">
        <w:rPr>
          <w:rFonts w:ascii="Bookman Old Style" w:hAnsi="Bookman Old Style"/>
          <w:sz w:val="22"/>
          <w:szCs w:val="22"/>
        </w:rPr>
        <w:t>KETUA PENGADILAN TINGGI AGAMA PADANG,</w:t>
      </w:r>
    </w:p>
    <w:p w14:paraId="348AD39E" w14:textId="36FA7958" w:rsidR="0029095D" w:rsidRPr="00E5372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4CE529BE" w14:textId="153B7204" w:rsidR="0029095D" w:rsidRPr="00E5372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0E7F3398" w14:textId="4D58DEAC" w:rsidR="0029095D" w:rsidRPr="00E5372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7B877EE7" w14:textId="3060858E" w:rsidR="00C80DF1" w:rsidRPr="00E5372C" w:rsidRDefault="00C80DF1" w:rsidP="00C80DF1">
      <w:pPr>
        <w:ind w:left="5387"/>
        <w:rPr>
          <w:rFonts w:ascii="Bookman Old Style" w:hAnsi="Bookman Old Style"/>
          <w:sz w:val="22"/>
          <w:szCs w:val="22"/>
        </w:rPr>
      </w:pPr>
    </w:p>
    <w:p w14:paraId="4D7C2967" w14:textId="4B7A9B06" w:rsidR="00C80DF1" w:rsidRPr="00E5372C" w:rsidRDefault="009B4EB3" w:rsidP="00C80DF1">
      <w:pPr>
        <w:ind w:left="5387"/>
        <w:rPr>
          <w:rFonts w:ascii="Bookman Old Style" w:hAnsi="Bookman Old Style"/>
          <w:sz w:val="22"/>
          <w:szCs w:val="22"/>
        </w:rPr>
      </w:pPr>
      <w:r w:rsidRPr="00E5372C">
        <w:rPr>
          <w:rFonts w:ascii="Bookman Old Style" w:hAnsi="Bookman Old Style"/>
          <w:bCs/>
          <w:sz w:val="22"/>
          <w:szCs w:val="22"/>
          <w:lang w:val="fi-FI"/>
        </w:rPr>
        <w:t xml:space="preserve">Drs. H. </w:t>
      </w:r>
      <w:r w:rsidR="0091687B">
        <w:rPr>
          <w:rFonts w:ascii="Bookman Old Style" w:hAnsi="Bookman Old Style"/>
          <w:bCs/>
          <w:sz w:val="22"/>
          <w:szCs w:val="22"/>
          <w:lang w:val="fi-FI"/>
        </w:rPr>
        <w:t>ZEIN AHSAN,</w:t>
      </w:r>
      <w:r w:rsidRPr="00E5372C">
        <w:rPr>
          <w:rFonts w:ascii="Bookman Old Style" w:hAnsi="Bookman Old Style"/>
          <w:bCs/>
          <w:sz w:val="22"/>
          <w:szCs w:val="22"/>
          <w:lang w:val="fi-FI"/>
        </w:rPr>
        <w:t xml:space="preserve"> M.H</w:t>
      </w:r>
    </w:p>
    <w:p w14:paraId="2F4D292A" w14:textId="2B84F70B" w:rsidR="00C80DF1" w:rsidRPr="00E5372C" w:rsidRDefault="0091687B" w:rsidP="00C80DF1">
      <w:pPr>
        <w:tabs>
          <w:tab w:val="left" w:pos="5400"/>
        </w:tabs>
        <w:ind w:left="5387"/>
        <w:rPr>
          <w:rFonts w:ascii="Bookman Old Style" w:hAnsi="Bookman Old Style"/>
          <w:sz w:val="22"/>
          <w:szCs w:val="22"/>
          <w:lang w:val="en-US"/>
        </w:rPr>
      </w:pPr>
      <w:r w:rsidRPr="0091687B">
        <w:rPr>
          <w:rFonts w:ascii="Bookman Old Style" w:hAnsi="Bookman Old Style"/>
          <w:sz w:val="22"/>
          <w:szCs w:val="22"/>
        </w:rPr>
        <w:t>NIP. 195508261982031004</w:t>
      </w:r>
    </w:p>
    <w:p w14:paraId="705435A6" w14:textId="57793D6D" w:rsidR="00C80DF1" w:rsidRPr="00E5372C" w:rsidRDefault="00C80DF1" w:rsidP="00D4699E">
      <w:pPr>
        <w:ind w:left="5529"/>
        <w:jc w:val="both"/>
        <w:rPr>
          <w:rFonts w:ascii="Bookman Old Style" w:hAnsi="Bookman Old Style"/>
          <w:sz w:val="22"/>
          <w:szCs w:val="22"/>
        </w:rPr>
      </w:pPr>
    </w:p>
    <w:p w14:paraId="54BE7F66" w14:textId="65CDC454" w:rsidR="00C80DF1" w:rsidRPr="00E5372C" w:rsidRDefault="00C80DF1" w:rsidP="009B4EB3">
      <w:pPr>
        <w:jc w:val="both"/>
        <w:rPr>
          <w:rFonts w:ascii="Bookman Old Style" w:hAnsi="Bookman Old Style"/>
          <w:sz w:val="22"/>
          <w:szCs w:val="22"/>
        </w:rPr>
      </w:pPr>
    </w:p>
    <w:p w14:paraId="21F1B3DE" w14:textId="3D1456BE" w:rsidR="009B4EB3" w:rsidRPr="00E5372C" w:rsidRDefault="009B4EB3" w:rsidP="009B4EB3">
      <w:pPr>
        <w:jc w:val="both"/>
        <w:rPr>
          <w:rFonts w:ascii="Bookman Old Style" w:hAnsi="Bookman Old Style"/>
          <w:sz w:val="22"/>
          <w:szCs w:val="22"/>
        </w:rPr>
      </w:pPr>
    </w:p>
    <w:p w14:paraId="50507AC2" w14:textId="77777777" w:rsidR="00EF3554" w:rsidRPr="00E5372C" w:rsidRDefault="00EF3554" w:rsidP="009B4EB3">
      <w:pPr>
        <w:jc w:val="both"/>
        <w:rPr>
          <w:rFonts w:ascii="Bookman Old Style" w:hAnsi="Bookman Old Style"/>
          <w:sz w:val="22"/>
          <w:szCs w:val="22"/>
        </w:rPr>
      </w:pPr>
    </w:p>
    <w:sectPr w:rsidR="00EF3554" w:rsidRPr="00E5372C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93794"/>
    <w:rsid w:val="00096959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B1ECE"/>
    <w:rsid w:val="004D3479"/>
    <w:rsid w:val="004D46CB"/>
    <w:rsid w:val="004D6039"/>
    <w:rsid w:val="004D7920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1488"/>
    <w:rsid w:val="00546F18"/>
    <w:rsid w:val="00550F40"/>
    <w:rsid w:val="00563C77"/>
    <w:rsid w:val="005666EB"/>
    <w:rsid w:val="0056721C"/>
    <w:rsid w:val="005758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5BE9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1687B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42D6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D344D"/>
    <w:rsid w:val="00CD3BC7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3016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372C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A38BD"/>
    <w:rsid w:val="00FA48B1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51E3-B00C-487A-B8F9-656896ED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2022-09-06T04:10:00Z</cp:lastPrinted>
  <dcterms:created xsi:type="dcterms:W3CDTF">2022-12-28T09:30:00Z</dcterms:created>
  <dcterms:modified xsi:type="dcterms:W3CDTF">2022-12-30T04:35:00Z</dcterms:modified>
</cp:coreProperties>
</file>