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50DF1A5C"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/113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</w:t>
      </w:r>
      <w:r w:rsidR="00A63BA9">
        <w:rPr>
          <w:rFonts w:ascii="Bookman Old Style" w:hAnsi="Bookman Old Style" w:cs="Tahoma"/>
          <w:sz w:val="21"/>
          <w:szCs w:val="21"/>
          <w:lang w:val="en-US"/>
        </w:rPr>
        <w:t>0</w:t>
      </w:r>
      <w:r>
        <w:rPr>
          <w:rFonts w:ascii="Bookman Old Style" w:hAnsi="Bookman Old Style" w:cs="Tahoma"/>
          <w:sz w:val="21"/>
          <w:szCs w:val="21"/>
        </w:rPr>
        <w:t>/</w:t>
      </w:r>
      <w:r w:rsidR="00A63BA9">
        <w:rPr>
          <w:rFonts w:ascii="Bookman Old Style" w:hAnsi="Bookman Old Style" w:cs="Tahoma"/>
          <w:sz w:val="21"/>
          <w:szCs w:val="21"/>
          <w:lang w:val="en-US"/>
        </w:rPr>
        <w:t>1</w:t>
      </w:r>
      <w:r>
        <w:rPr>
          <w:rFonts w:ascii="Bookman Old Style" w:hAnsi="Bookman Old Style" w:cs="Tahoma"/>
          <w:sz w:val="21"/>
          <w:szCs w:val="21"/>
        </w:rPr>
        <w:t>/202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50127F32" w14:textId="77777777"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1097A6A4" w14:textId="48697D23" w:rsidR="00DA5F77" w:rsidRPr="00FF0294" w:rsidRDefault="00A63BA9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TIM MANAJEMEN RESIKO</w:t>
      </w:r>
    </w:p>
    <w:p w14:paraId="6D9F8350" w14:textId="378AAD1C" w:rsidR="00931A89" w:rsidRPr="00FF0294" w:rsidRDefault="00A63BA9" w:rsidP="00931A8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PADA </w:t>
      </w:r>
      <w:r w:rsidR="00931A89"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 w:rsidR="00931A89"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079F2E70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0D6AD745" w14:textId="10F0E0AC" w:rsidR="00931A89" w:rsidRPr="005336BF" w:rsidRDefault="00DA2B82" w:rsidP="00184007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F0294">
        <w:rPr>
          <w:rFonts w:ascii="Bookman Old Style" w:hAnsi="Bookman Old Style"/>
          <w:sz w:val="21"/>
          <w:szCs w:val="21"/>
          <w:lang w:val="en-ID"/>
        </w:rPr>
        <w:t>b</w:t>
      </w:r>
      <w:r w:rsidR="00FF0294" w:rsidRPr="00FF0294">
        <w:rPr>
          <w:rFonts w:ascii="Bookman Old Style" w:hAnsi="Bookman Old Style"/>
          <w:sz w:val="21"/>
          <w:szCs w:val="21"/>
        </w:rPr>
        <w:t xml:space="preserve">ahwa </w:t>
      </w:r>
      <w:r w:rsidR="00A63BA9">
        <w:rPr>
          <w:rFonts w:ascii="Bookman Old Style" w:hAnsi="Bookman Old Style"/>
          <w:sz w:val="21"/>
          <w:szCs w:val="21"/>
          <w:lang w:val="en-US"/>
        </w:rPr>
        <w:t>dalam rangka mendukung pencapaian tugas pokok dan fungsi Pengadilan Tinggi Agama Padang dalam memberikan pelayanan kepada pencari keadilan maupun kepada masyarakat pengguna pengadilan pada umumnya</w:t>
      </w:r>
      <w:r w:rsidR="00184007">
        <w:rPr>
          <w:rFonts w:ascii="Bookman Old Style" w:hAnsi="Bookman Old Style"/>
          <w:sz w:val="21"/>
          <w:szCs w:val="21"/>
          <w:lang w:val="en-US"/>
        </w:rPr>
        <w:t>, diperlukan lingkungan kerja yang aman, sehat dan produktif;</w:t>
      </w:r>
    </w:p>
    <w:p w14:paraId="75E815AC" w14:textId="7D13CDBB" w:rsidR="00931A8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r w:rsidRPr="00931A89">
        <w:rPr>
          <w:rFonts w:ascii="Bookman Old Style" w:hAnsi="Bookman Old Style"/>
          <w:sz w:val="21"/>
          <w:szCs w:val="21"/>
          <w:lang w:val="en-ID"/>
        </w:rPr>
        <w:t xml:space="preserve">bahwa </w:t>
      </w:r>
      <w:r w:rsidR="00184007">
        <w:rPr>
          <w:rFonts w:ascii="Bookman Old Style" w:hAnsi="Bookman Old Style"/>
          <w:sz w:val="21"/>
          <w:szCs w:val="21"/>
          <w:lang w:val="en-ID"/>
        </w:rPr>
        <w:t xml:space="preserve">untuk memenuhi maksud sebagaimana pada huruf a, </w:t>
      </w:r>
      <w:r w:rsidRPr="00931A89">
        <w:rPr>
          <w:rFonts w:ascii="Bookman Old Style" w:hAnsi="Bookman Old Style"/>
          <w:sz w:val="21"/>
          <w:szCs w:val="21"/>
          <w:lang w:val="en-ID"/>
        </w:rPr>
        <w:t xml:space="preserve">dipandang perlu membentuk Tim </w:t>
      </w:r>
      <w:r w:rsidR="00184007">
        <w:rPr>
          <w:rFonts w:ascii="Bookman Old Style" w:hAnsi="Bookman Old Style"/>
          <w:sz w:val="21"/>
          <w:szCs w:val="21"/>
          <w:lang w:val="en-ID"/>
        </w:rPr>
        <w:t>Manajemen Resiko, yang akan menyusun dan mengelola langkah-langkah pencegahan, perbaikan dan pembenahan lingkungan pengadilan;</w:t>
      </w:r>
    </w:p>
    <w:p w14:paraId="525D5181" w14:textId="2A233A0C" w:rsidR="0088053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r w:rsidRPr="00931A89">
        <w:rPr>
          <w:rFonts w:ascii="Bookman Old Style" w:hAnsi="Bookman Old Style"/>
          <w:sz w:val="21"/>
          <w:szCs w:val="21"/>
          <w:lang w:val="en-ID"/>
        </w:rPr>
        <w:t>bahwa yang namanya tersebut dalam lampiran keputusan ini, dipandang cakap dan mampu untuk melaksanakan tugas tersebut</w:t>
      </w:r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E39B1C4" w14:textId="59DFB6B9" w:rsidR="002C446D" w:rsidRDefault="00184007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Peraturan Pemerintah Nomor 60 Tahun 2008 tentang Sistem Pengendalian Intern Pemerintah</w:t>
      </w:r>
      <w:r w:rsidR="002C446D" w:rsidRPr="00DA5F77">
        <w:rPr>
          <w:rFonts w:ascii="Bookman Old Style" w:hAnsi="Bookman Old Style" w:cs="Tahoma"/>
          <w:sz w:val="21"/>
          <w:szCs w:val="21"/>
        </w:rPr>
        <w:t>;</w:t>
      </w:r>
    </w:p>
    <w:p w14:paraId="37FB1D5D" w14:textId="5860C503" w:rsidR="00DA5F77" w:rsidRPr="00B56CA8" w:rsidRDefault="0018400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Keputusan Sekretaris Mahkamah Agung Nomor 475/SEK/SK/VII/2019 tentang Pedoman Manajemen Risiko di Lingkungan Mahkamah Agung dan Badan Peradilan </w:t>
      </w:r>
      <w:r w:rsidR="00B579DD">
        <w:rPr>
          <w:rFonts w:ascii="Bookman Old Style" w:hAnsi="Bookman Old Style" w:cs="Tahoma"/>
          <w:sz w:val="21"/>
          <w:szCs w:val="21"/>
          <w:lang w:val="en-US"/>
        </w:rPr>
        <w:t>d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i </w:t>
      </w:r>
      <w:r w:rsidR="00B579DD">
        <w:rPr>
          <w:rFonts w:ascii="Bookman Old Style" w:hAnsi="Bookman Old Style" w:cs="Tahoma"/>
          <w:sz w:val="21"/>
          <w:szCs w:val="21"/>
          <w:lang w:val="en-US"/>
        </w:rPr>
        <w:t>b</w:t>
      </w:r>
      <w:r>
        <w:rPr>
          <w:rFonts w:ascii="Bookman Old Style" w:hAnsi="Bookman Old Style" w:cs="Tahoma"/>
          <w:sz w:val="21"/>
          <w:szCs w:val="21"/>
          <w:lang w:val="en-US"/>
        </w:rPr>
        <w:t>awahnya</w:t>
      </w:r>
      <w:r w:rsidR="00DA5F7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D3BFED" w14:textId="77777777" w:rsidR="00281D10" w:rsidRDefault="00281D10" w:rsidP="00281D10">
      <w:pPr>
        <w:pStyle w:val="BodyTextIndent3"/>
        <w:tabs>
          <w:tab w:val="clear" w:pos="2160"/>
        </w:tabs>
        <w:rPr>
          <w:rFonts w:ascii="Bookman Old Style" w:hAnsi="Bookman Old Style" w:cs="Tahoma"/>
          <w:sz w:val="21"/>
          <w:szCs w:val="21"/>
        </w:rPr>
      </w:pP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2E34409B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>TIM MANAJEMEN RESIKO PADA</w:t>
      </w:r>
      <w:r w:rsidR="005336BF" w:rsidRPr="005336BF">
        <w:rPr>
          <w:rFonts w:ascii="Bookman Old Style" w:hAnsi="Bookman Old Style" w:cs="Tahoma"/>
          <w:sz w:val="21"/>
          <w:szCs w:val="21"/>
        </w:rPr>
        <w:t xml:space="preserve"> PENGADILAN TINGGI AGAMA PADANG TAHUN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0D5DFAD8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880539">
        <w:rPr>
          <w:rFonts w:ascii="Bookman Old Style" w:hAnsi="Bookman Old Style"/>
          <w:sz w:val="21"/>
          <w:szCs w:val="21"/>
          <w:lang w:val="en-ID"/>
        </w:rPr>
        <w:t xml:space="preserve">enunjuk tim </w:t>
      </w:r>
      <w:r w:rsidR="00281D10">
        <w:rPr>
          <w:rFonts w:ascii="Bookman Old Style" w:hAnsi="Bookman Old Style"/>
          <w:sz w:val="21"/>
          <w:szCs w:val="21"/>
          <w:lang w:val="en-ID"/>
        </w:rPr>
        <w:t>Manajemen Resiko pada Pengadilan Tinggi Agama Padang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 xml:space="preserve">dengan susunan sebagaimana tersebut dalam lampiran </w:t>
      </w:r>
      <w:r w:rsidR="00281D10">
        <w:rPr>
          <w:rFonts w:ascii="Bookman Old Style" w:hAnsi="Bookman Old Style"/>
          <w:sz w:val="21"/>
          <w:szCs w:val="21"/>
          <w:lang w:val="en-US"/>
        </w:rPr>
        <w:t xml:space="preserve">I </w:t>
      </w:r>
      <w:r w:rsidR="00B47964" w:rsidRPr="00DA5F77">
        <w:rPr>
          <w:rFonts w:ascii="Bookman Old Style" w:hAnsi="Bookman Old Style"/>
          <w:sz w:val="21"/>
          <w:szCs w:val="21"/>
        </w:rPr>
        <w:t>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18B359C4" w14:textId="7DBAB7CA"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3B7801">
        <w:rPr>
          <w:rFonts w:ascii="Bookman Old Style" w:hAnsi="Bookman Old Style" w:cs="Tahoma"/>
          <w:sz w:val="21"/>
          <w:szCs w:val="21"/>
          <w:lang w:val="en-ID"/>
        </w:rPr>
        <w:t xml:space="preserve">Manajemen Resiko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>memiliki tugas dan tanggungjawab seb</w:t>
      </w:r>
      <w:r w:rsidR="003B7801">
        <w:rPr>
          <w:rFonts w:ascii="Bookman Old Style" w:hAnsi="Bookman Old Style" w:cs="Tahoma"/>
          <w:sz w:val="21"/>
          <w:szCs w:val="21"/>
          <w:lang w:val="en-ID"/>
        </w:rPr>
        <w:t>a</w:t>
      </w:r>
      <w:r w:rsidR="002A2BE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>gaimana lampiran II keputusan ini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38120CA2" w14:textId="77777777" w:rsidR="00B579DD" w:rsidRDefault="00B579DD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4925BF27" w14:textId="1372D996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3F9D693B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281D10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6A8E">
        <w:rPr>
          <w:rFonts w:ascii="Bookman Old Style" w:hAnsi="Bookman Old Style"/>
          <w:sz w:val="21"/>
          <w:szCs w:val="21"/>
          <w:lang w:val="en-ID"/>
        </w:rPr>
        <w:t>3 Januari 2022</w:t>
      </w:r>
    </w:p>
    <w:p w14:paraId="0393AECB" w14:textId="1A38CF19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4125D7A2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6A03431" w14:textId="33BFB66C" w:rsidR="00055881" w:rsidRPr="00880539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F1E3FB2" w14:textId="0F21ADE2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281D10"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067E6E74" w14:textId="77777777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3B600300" w14:textId="625D70A8"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="0092216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113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</w:t>
      </w:r>
      <w:r w:rsidR="00281D10">
        <w:rPr>
          <w:rFonts w:ascii="Bookman Old Style" w:hAnsi="Bookman Old Style" w:cs="Tahoma"/>
          <w:sz w:val="21"/>
          <w:szCs w:val="21"/>
          <w:lang w:val="en-US"/>
        </w:rPr>
        <w:t>00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281D10">
        <w:rPr>
          <w:rFonts w:ascii="Bookman Old Style" w:hAnsi="Bookman Old Style" w:cs="Tahoma"/>
          <w:sz w:val="21"/>
          <w:szCs w:val="21"/>
          <w:lang w:val="en-US"/>
        </w:rPr>
        <w:t>1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6D5FECF1" w14:textId="1AC93B9E" w:rsidR="00A937BD" w:rsidRPr="00823B5D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 w:rsidR="00876A8E">
        <w:rPr>
          <w:rFonts w:ascii="Bookman Old Style" w:hAnsi="Bookman Old Style"/>
          <w:sz w:val="21"/>
          <w:szCs w:val="21"/>
          <w:lang w:val="en-ID"/>
        </w:rPr>
        <w:t xml:space="preserve"> 3 JANUARI 2022</w:t>
      </w:r>
    </w:p>
    <w:p w14:paraId="3A2F8BBD" w14:textId="4D10B786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6CC6D834" w14:textId="77777777"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0E29CB0" w14:textId="77777777"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93D2F5" w14:textId="70575777" w:rsidR="00823B5D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860BF0">
        <w:rPr>
          <w:rFonts w:ascii="Bookman Old Style" w:hAnsi="Bookman Old Style" w:cs="Tahoma"/>
          <w:sz w:val="21"/>
          <w:szCs w:val="21"/>
          <w:lang w:val="en-ID"/>
        </w:rPr>
        <w:t>MANAJEMEN RESIKO</w:t>
      </w:r>
    </w:p>
    <w:p w14:paraId="5231A8B3" w14:textId="02E30D74" w:rsidR="00A937BD" w:rsidRPr="00860BF0" w:rsidRDefault="00860BF0" w:rsidP="005336BF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PADA PENGADILAN TINGGI AGAMA PADANG</w:t>
      </w:r>
    </w:p>
    <w:p w14:paraId="785B9743" w14:textId="77777777"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155D7A61" w14:textId="16FDC098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14:paraId="7889E513" w14:textId="77777777" w:rsidTr="00823B5D">
        <w:tc>
          <w:tcPr>
            <w:tcW w:w="3578" w:type="dxa"/>
          </w:tcPr>
          <w:p w14:paraId="749C8FA0" w14:textId="66F2498B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353EDE1E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DBFB71" w14:textId="77777777" w:rsid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5D49F005" w14:textId="77777777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A937BD" w:rsidRPr="0072225F" w14:paraId="5F66AD4B" w14:textId="77777777" w:rsidTr="00823B5D">
        <w:tc>
          <w:tcPr>
            <w:tcW w:w="3578" w:type="dxa"/>
          </w:tcPr>
          <w:p w14:paraId="5D26145E" w14:textId="43544EA4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8E84DC4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BE871E8" w14:textId="0ACF9034" w:rsidR="00A937BD" w:rsidRPr="00A937BD" w:rsidRDefault="00860BF0" w:rsidP="00884C2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860BF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Abd. Khalik, S.H., M.H.</w:t>
            </w:r>
          </w:p>
        </w:tc>
      </w:tr>
      <w:tr w:rsidR="00860BF0" w:rsidRPr="0072225F" w14:paraId="6D97ED2B" w14:textId="77777777" w:rsidTr="00823B5D">
        <w:tc>
          <w:tcPr>
            <w:tcW w:w="3578" w:type="dxa"/>
          </w:tcPr>
          <w:p w14:paraId="0112F230" w14:textId="7DE4D59F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4EE1CA0B" w14:textId="77777777" w:rsidR="00860BF0" w:rsidRPr="0072225F" w:rsidRDefault="00860BF0" w:rsidP="00860BF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10E116" w14:textId="518E6C04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860BF0" w:rsidRPr="0072225F" w14:paraId="056F2A63" w14:textId="77777777" w:rsidTr="00823B5D">
        <w:tc>
          <w:tcPr>
            <w:tcW w:w="3578" w:type="dxa"/>
          </w:tcPr>
          <w:p w14:paraId="78728533" w14:textId="345652B8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5C6CFC06" w14:textId="77777777" w:rsidR="00860BF0" w:rsidRPr="0072225F" w:rsidRDefault="00860BF0" w:rsidP="00860BF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2BECA4B" w14:textId="13A55D5B" w:rsidR="00860BF0" w:rsidRPr="002C446D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H. </w:t>
            </w:r>
            <w:r>
              <w:rPr>
                <w:rFonts w:ascii="Bookman Old Style" w:hAnsi="Bookman Old Style" w:cstheme="minorHAnsi"/>
                <w:sz w:val="21"/>
                <w:szCs w:val="21"/>
              </w:rPr>
              <w:t>Damris, S.H.</w:t>
            </w:r>
          </w:p>
          <w:p w14:paraId="5EFD33F3" w14:textId="6717644F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H. Masdi, S.H.</w:t>
            </w:r>
          </w:p>
          <w:p w14:paraId="29EFAB1E" w14:textId="3F7AA448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14:paraId="2DD1EBA4" w14:textId="4361243C" w:rsidR="00860BF0" w:rsidRPr="00A937BD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  <w:p w14:paraId="0A12261F" w14:textId="51CBC533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Nurasiyah Handayani Rangkuti, S.H.</w:t>
            </w:r>
          </w:p>
          <w:p w14:paraId="787FD435" w14:textId="5CA03B5C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14:paraId="77E1EDA7" w14:textId="69ED3588" w:rsidR="00860BF0" w:rsidRP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860BF0">
              <w:rPr>
                <w:rFonts w:ascii="Bookman Old Style" w:hAnsi="Bookman Old Style" w:cstheme="minorHAnsi"/>
                <w:sz w:val="21"/>
                <w:szCs w:val="21"/>
              </w:rPr>
              <w:t>Elvi Yunita, S.H.</w:t>
            </w:r>
            <w:r w:rsidRPr="00860BF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M.H.</w:t>
            </w:r>
          </w:p>
          <w:p w14:paraId="4AEB81DB" w14:textId="77777777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 w14:paraId="3FA59C61" w14:textId="77777777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  <w:p w14:paraId="27AE6F81" w14:textId="77777777" w:rsidR="00860BF0" w:rsidRPr="002C446D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Winda Harza, S.H.</w:t>
            </w:r>
          </w:p>
          <w:p w14:paraId="5C0D4DD1" w14:textId="61C34AAA" w:rsidR="00860BF0" w:rsidRP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Listya Rahma, A.Md.</w:t>
            </w:r>
          </w:p>
        </w:tc>
      </w:tr>
    </w:tbl>
    <w:p w14:paraId="62DA4A4A" w14:textId="1C1455D2"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23612E44" w14:textId="448B25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238A56B" w14:textId="77777777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0A1E64E" w14:textId="5AB9DA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0F67D55C" w14:textId="0D9FC4AA"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1D70D402" w14:textId="2677DB0C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C82234D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790FAE4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D43DA84" w14:textId="77777777" w:rsidR="00823B5D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823B5D" w:rsidRPr="0072225F">
        <w:rPr>
          <w:rFonts w:ascii="Bookman Old Style" w:hAnsi="Bookman Old Style" w:cstheme="minorHAnsi"/>
          <w:sz w:val="21"/>
          <w:szCs w:val="21"/>
        </w:rPr>
        <w:t>ZEIN AHSAN</w:t>
      </w:r>
      <w:r w:rsidRPr="0072225F">
        <w:rPr>
          <w:rFonts w:ascii="Bookman Old Style" w:hAnsi="Bookman Old Style" w:cstheme="minorHAnsi"/>
          <w:sz w:val="21"/>
          <w:szCs w:val="21"/>
        </w:rPr>
        <w:t>, M.H.</w:t>
      </w:r>
    </w:p>
    <w:p w14:paraId="2D549CD2" w14:textId="7B157A31" w:rsidR="00E24F9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="005110C7"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01FDA703" w14:textId="7AFCBF4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D4318E8" w14:textId="221F4E7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128220" w14:textId="2F16DD5E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372D87" w14:textId="2336131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C873E82" w14:textId="110C7A11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B3AB21" w14:textId="55B8D95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F77D6D2" w14:textId="237910C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686727E" w14:textId="1EE34CCD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1062639" w14:textId="33F512B4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DB4D7E" w14:textId="0738CD4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9277229" w14:textId="69535B2B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DDD7D61" w14:textId="751FB64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CA07292" w14:textId="12582E79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FB8CDB" w14:textId="5C57908A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50D5F3" w14:textId="062CA0A0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91AC954" w14:textId="13AA85F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FE31919" w14:textId="164693EC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CA59549" w14:textId="675CCF1C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E824AD9" w14:textId="177E535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44F97F4" w14:textId="5C854EB2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128E174" w14:textId="77777777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6F0CB40" w14:textId="5EB21184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591265C" w14:textId="33D2280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C612289" w14:textId="7CB2654B" w:rsidR="00860BF0" w:rsidRPr="00823B5D" w:rsidRDefault="00860BF0" w:rsidP="00860BF0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1576CD38" w14:textId="77777777" w:rsidR="00860BF0" w:rsidRPr="00823B5D" w:rsidRDefault="00860BF0" w:rsidP="00860BF0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09ABA2F5" w14:textId="4D15BE8A" w:rsidR="00860BF0" w:rsidRPr="00FB60DF" w:rsidRDefault="00860BF0" w:rsidP="00860BF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113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</w:t>
      </w:r>
      <w:r>
        <w:rPr>
          <w:rFonts w:ascii="Bookman Old Style" w:hAnsi="Bookman Old Style" w:cs="Tahoma"/>
          <w:sz w:val="21"/>
          <w:szCs w:val="21"/>
          <w:lang w:val="en-US"/>
        </w:rPr>
        <w:t>00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18973AAB" w14:textId="4DCE4E32" w:rsidR="00860BF0" w:rsidRPr="00823B5D" w:rsidRDefault="00860BF0" w:rsidP="00860BF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76A8E">
        <w:rPr>
          <w:rFonts w:ascii="Bookman Old Style" w:hAnsi="Bookman Old Style"/>
          <w:sz w:val="21"/>
          <w:szCs w:val="21"/>
          <w:lang w:val="en-ID"/>
        </w:rPr>
        <w:t>3 JANUARI 2022</w:t>
      </w:r>
    </w:p>
    <w:p w14:paraId="747C47A4" w14:textId="7777777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ED56213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3B206AB7" w14:textId="77777777"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2195540" w14:textId="3A41A463" w:rsidR="00860BF0" w:rsidRDefault="00860BF0" w:rsidP="00860BF0">
      <w:pPr>
        <w:jc w:val="center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 xml:space="preserve">URAIAN TUGAS TIM </w:t>
      </w:r>
      <w:r>
        <w:rPr>
          <w:rFonts w:ascii="Bookman Old Style" w:hAnsi="Bookman Old Style"/>
          <w:sz w:val="21"/>
          <w:szCs w:val="21"/>
          <w:lang w:val="en-US"/>
        </w:rPr>
        <w:t>MANAJEMEN RESIKO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391B4B20" w14:textId="77777777" w:rsidR="00860BF0" w:rsidRDefault="00860BF0" w:rsidP="00860BF0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Pr="003F2DC7">
        <w:rPr>
          <w:rFonts w:ascii="Bookman Old Style" w:hAnsi="Bookman Old Style"/>
          <w:sz w:val="21"/>
          <w:szCs w:val="21"/>
        </w:rPr>
        <w:t>PENGADILAN TINGGI AGAMA PADANG</w:t>
      </w:r>
    </w:p>
    <w:p w14:paraId="671DEA88" w14:textId="77777777" w:rsidR="00860BF0" w:rsidRPr="003F2DC7" w:rsidRDefault="00860BF0" w:rsidP="00860BF0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01BB506E" w14:textId="4EDA2FAE" w:rsidR="00860BF0" w:rsidRPr="00860BF0" w:rsidRDefault="00860BF0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Ketua </w:t>
      </w:r>
    </w:p>
    <w:p w14:paraId="23641183" w14:textId="75106007" w:rsidR="00860BF0" w:rsidRPr="007829FE" w:rsidRDefault="00860BF0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Memastikan tersedianya kajian resiko terhadap pelaksanaan tugas pokok dan fungsi Pengadilan Tinggi Agama Padang.</w:t>
      </w:r>
    </w:p>
    <w:p w14:paraId="453F3C56" w14:textId="473909FD" w:rsidR="00860BF0" w:rsidRPr="00860BF0" w:rsidRDefault="00860BF0" w:rsidP="00860BF0">
      <w:pPr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5FA7B39" w14:textId="37B537E6" w:rsidR="00860BF0" w:rsidRPr="00860BF0" w:rsidRDefault="00860BF0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Sekretaris</w:t>
      </w:r>
    </w:p>
    <w:p w14:paraId="3E2E38B0" w14:textId="28F8F750" w:rsidR="00860BF0" w:rsidRDefault="00860BF0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Membantu penyelenggaraan kegiatan administrative untuk mendukung proses pelaksanaan tugas dan </w:t>
      </w:r>
      <w:r w:rsidR="00257107">
        <w:rPr>
          <w:rFonts w:ascii="Bookman Old Style" w:hAnsi="Bookman Old Style" w:cs="Tahoma"/>
          <w:sz w:val="21"/>
          <w:szCs w:val="21"/>
          <w:lang w:val="en-US"/>
        </w:rPr>
        <w:t>tan tanggung jawab Tim Manajemen Resiko dalam bidang kepaniteraan dan kesekretariatan.</w:t>
      </w:r>
    </w:p>
    <w:p w14:paraId="72348DC7" w14:textId="77777777" w:rsidR="00257107" w:rsidRPr="007829FE" w:rsidRDefault="00257107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70F6F05A" w14:textId="018DF97F" w:rsidR="00860BF0" w:rsidRPr="00257107" w:rsidRDefault="00257107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Anggota</w:t>
      </w:r>
    </w:p>
    <w:p w14:paraId="3EA93183" w14:textId="5031350D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Mengidentifikasi resiko-resiko dalam bidang kepaniteraan dan kesekretariatan yang dapat mempengaruhi pencapaian tugas dan fungsi Pengadilan Tinggi Agama Padang;</w:t>
      </w:r>
    </w:p>
    <w:p w14:paraId="0ACD0194" w14:textId="1270DE8C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Menetapkan kriteria akibat dari masing-masing resiko yang mungkin terjadi;</w:t>
      </w:r>
    </w:p>
    <w:p w14:paraId="0F16692B" w14:textId="7B891A3F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Menetapkan kriteria kemungkinan terjadinya masing-masing resiko</w:t>
      </w:r>
    </w:p>
    <w:p w14:paraId="55C0D693" w14:textId="24E76742" w:rsidR="00257107" w:rsidRPr="007829FE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Membuat rencana Tindakan untuk menghindari, mengurangi atau mengalihkan masing-masing resiko.</w:t>
      </w:r>
    </w:p>
    <w:p w14:paraId="06875F0F" w14:textId="62E4F0C5" w:rsidR="00A0110D" w:rsidRPr="00DA5F77" w:rsidRDefault="00A0110D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12567182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94D3E67" w14:textId="494A1CB4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35FB568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49BF3544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76B4D6A" w14:textId="22B0CB35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85C1EE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86DD346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84F2289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7EECB037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056F375" w14:textId="77777777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545D" w14:textId="77777777" w:rsidR="00F5557B" w:rsidRDefault="00F5557B">
      <w:r>
        <w:separator/>
      </w:r>
    </w:p>
  </w:endnote>
  <w:endnote w:type="continuationSeparator" w:id="0">
    <w:p w14:paraId="447D4754" w14:textId="77777777" w:rsidR="00F5557B" w:rsidRDefault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578A" w14:textId="77777777" w:rsidR="00F5557B" w:rsidRDefault="00F5557B">
      <w:r>
        <w:separator/>
      </w:r>
    </w:p>
  </w:footnote>
  <w:footnote w:type="continuationSeparator" w:id="0">
    <w:p w14:paraId="356DA25B" w14:textId="77777777" w:rsidR="00F5557B" w:rsidRDefault="00F5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5D4F61"/>
    <w:multiLevelType w:val="hybridMultilevel"/>
    <w:tmpl w:val="594C2094"/>
    <w:lvl w:ilvl="0" w:tplc="0CA4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1E8B"/>
    <w:multiLevelType w:val="hybridMultilevel"/>
    <w:tmpl w:val="AB1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291234C"/>
    <w:multiLevelType w:val="hybridMultilevel"/>
    <w:tmpl w:val="77A0C666"/>
    <w:lvl w:ilvl="0" w:tplc="3A006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2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4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3"/>
  </w:num>
  <w:num w:numId="3">
    <w:abstractNumId w:val="11"/>
  </w:num>
  <w:num w:numId="4">
    <w:abstractNumId w:val="6"/>
  </w:num>
  <w:num w:numId="5">
    <w:abstractNumId w:val="24"/>
  </w:num>
  <w:num w:numId="6">
    <w:abstractNumId w:val="29"/>
  </w:num>
  <w:num w:numId="7">
    <w:abstractNumId w:val="23"/>
  </w:num>
  <w:num w:numId="8">
    <w:abstractNumId w:val="34"/>
  </w:num>
  <w:num w:numId="9">
    <w:abstractNumId w:val="44"/>
  </w:num>
  <w:num w:numId="10">
    <w:abstractNumId w:val="27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41"/>
  </w:num>
  <w:num w:numId="17">
    <w:abstractNumId w:val="37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39"/>
  </w:num>
  <w:num w:numId="23">
    <w:abstractNumId w:val="17"/>
  </w:num>
  <w:num w:numId="24">
    <w:abstractNumId w:val="31"/>
  </w:num>
  <w:num w:numId="25">
    <w:abstractNumId w:val="46"/>
  </w:num>
  <w:num w:numId="26">
    <w:abstractNumId w:val="40"/>
  </w:num>
  <w:num w:numId="27">
    <w:abstractNumId w:val="33"/>
  </w:num>
  <w:num w:numId="28">
    <w:abstractNumId w:val="48"/>
  </w:num>
  <w:num w:numId="29">
    <w:abstractNumId w:val="5"/>
  </w:num>
  <w:num w:numId="30">
    <w:abstractNumId w:val="8"/>
  </w:num>
  <w:num w:numId="31">
    <w:abstractNumId w:val="26"/>
  </w:num>
  <w:num w:numId="32">
    <w:abstractNumId w:val="45"/>
  </w:num>
  <w:num w:numId="33">
    <w:abstractNumId w:val="47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2"/>
  </w:num>
  <w:num w:numId="39">
    <w:abstractNumId w:val="4"/>
  </w:num>
  <w:num w:numId="40">
    <w:abstractNumId w:val="19"/>
  </w:num>
  <w:num w:numId="41">
    <w:abstractNumId w:val="21"/>
  </w:num>
  <w:num w:numId="42">
    <w:abstractNumId w:val="30"/>
  </w:num>
  <w:num w:numId="43">
    <w:abstractNumId w:val="35"/>
  </w:num>
  <w:num w:numId="44">
    <w:abstractNumId w:val="0"/>
  </w:num>
  <w:num w:numId="45">
    <w:abstractNumId w:val="3"/>
  </w:num>
  <w:num w:numId="46">
    <w:abstractNumId w:val="42"/>
  </w:num>
  <w:num w:numId="47">
    <w:abstractNumId w:val="36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31B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4007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57107"/>
    <w:rsid w:val="002626F6"/>
    <w:rsid w:val="0026594F"/>
    <w:rsid w:val="00265E02"/>
    <w:rsid w:val="00270733"/>
    <w:rsid w:val="0027176C"/>
    <w:rsid w:val="002727A3"/>
    <w:rsid w:val="00281D10"/>
    <w:rsid w:val="002935BF"/>
    <w:rsid w:val="00295F82"/>
    <w:rsid w:val="00297D8A"/>
    <w:rsid w:val="002A2BE4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3AEC"/>
    <w:rsid w:val="003B6288"/>
    <w:rsid w:val="003B6FA2"/>
    <w:rsid w:val="003B71F5"/>
    <w:rsid w:val="003B7801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0BF0"/>
    <w:rsid w:val="00861101"/>
    <w:rsid w:val="00876A8E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2425"/>
    <w:rsid w:val="00965B1E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63BA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56CA8"/>
    <w:rsid w:val="00B579D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37CC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5557B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6D9A-E61F-46A0-A4BA-B874436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SIPP-Informasi</cp:lastModifiedBy>
  <cp:revision>8</cp:revision>
  <cp:lastPrinted>2021-11-01T07:05:00Z</cp:lastPrinted>
  <dcterms:created xsi:type="dcterms:W3CDTF">2021-11-01T04:29:00Z</dcterms:created>
  <dcterms:modified xsi:type="dcterms:W3CDTF">2022-01-07T04:46:00Z</dcterms:modified>
</cp:coreProperties>
</file>