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CF7" w:rsidRPr="00197D99" w:rsidRDefault="00C55CF7" w:rsidP="00197D99">
      <w:pPr>
        <w:tabs>
          <w:tab w:val="left" w:pos="1276"/>
          <w:tab w:val="right" w:pos="9000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197D99">
        <w:rPr>
          <w:rFonts w:ascii="Bookman Old Style" w:hAnsi="Bookman Old Style" w:cs="Arial"/>
          <w:sz w:val="22"/>
          <w:szCs w:val="22"/>
          <w:lang w:val="sv-SE"/>
        </w:rPr>
        <w:t>Nomor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ab/>
        <w:t xml:space="preserve">: </w:t>
      </w:r>
      <w:r w:rsidR="00F87F63" w:rsidRPr="00197D99">
        <w:rPr>
          <w:rFonts w:ascii="Bookman Old Style" w:hAnsi="Bookman Old Style" w:cs="Arial"/>
          <w:sz w:val="22"/>
          <w:szCs w:val="22"/>
          <w:lang w:val="sv-SE"/>
        </w:rPr>
        <w:t>2810/SEK.02.PTA.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>W3-A/</w:t>
      </w:r>
      <w:r w:rsidRPr="00197D99">
        <w:rPr>
          <w:rFonts w:ascii="Bookman Old Style" w:hAnsi="Bookman Old Style" w:cs="Arial"/>
          <w:sz w:val="22"/>
          <w:szCs w:val="22"/>
          <w:lang w:val="id-ID"/>
        </w:rPr>
        <w:t>PL</w:t>
      </w:r>
      <w:r w:rsidR="00F87F63" w:rsidRPr="00197D99">
        <w:rPr>
          <w:rFonts w:ascii="Bookman Old Style" w:hAnsi="Bookman Old Style" w:cs="Arial"/>
          <w:sz w:val="22"/>
          <w:szCs w:val="22"/>
          <w:lang w:val="sv-SE"/>
        </w:rPr>
        <w:t>1.2</w:t>
      </w:r>
      <w:r w:rsidR="00396804" w:rsidRPr="00197D99">
        <w:rPr>
          <w:rFonts w:ascii="Bookman Old Style" w:hAnsi="Bookman Old Style" w:cs="Arial"/>
          <w:sz w:val="22"/>
          <w:szCs w:val="22"/>
          <w:lang w:val="sv-SE"/>
        </w:rPr>
        <w:t>/X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>/2023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ab/>
      </w:r>
      <w:r w:rsidR="00197D99" w:rsidRPr="00197D99">
        <w:rPr>
          <w:rFonts w:ascii="Bookman Old Style" w:hAnsi="Bookman Old Style" w:cs="Arial"/>
          <w:sz w:val="22"/>
          <w:szCs w:val="22"/>
          <w:lang w:val="sv-SE"/>
        </w:rPr>
        <w:t xml:space="preserve">        06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 xml:space="preserve"> </w:t>
      </w:r>
      <w:r w:rsidR="00197D99" w:rsidRPr="00197D99">
        <w:rPr>
          <w:rFonts w:ascii="Bookman Old Style" w:hAnsi="Bookman Old Style" w:cs="Arial"/>
          <w:sz w:val="22"/>
          <w:szCs w:val="22"/>
          <w:lang w:val="sv-SE"/>
        </w:rPr>
        <w:t>Februari</w:t>
      </w:r>
      <w:r w:rsidRPr="00197D99">
        <w:rPr>
          <w:rFonts w:ascii="Bookman Old Style" w:hAnsi="Bookman Old Style" w:cs="Arial"/>
          <w:sz w:val="22"/>
          <w:szCs w:val="22"/>
          <w:lang w:val="id-ID"/>
        </w:rPr>
        <w:t xml:space="preserve"> 20</w:t>
      </w:r>
      <w:r w:rsidR="00197D99" w:rsidRPr="00197D99">
        <w:rPr>
          <w:rFonts w:ascii="Bookman Old Style" w:hAnsi="Bookman Old Style" w:cs="Arial"/>
          <w:sz w:val="22"/>
          <w:szCs w:val="22"/>
        </w:rPr>
        <w:t>24</w:t>
      </w:r>
    </w:p>
    <w:p w:rsidR="00C55CF7" w:rsidRPr="00197D99" w:rsidRDefault="00C55CF7" w:rsidP="00197D99">
      <w:pPr>
        <w:tabs>
          <w:tab w:val="left" w:pos="1276"/>
        </w:tabs>
        <w:spacing w:line="360" w:lineRule="auto"/>
        <w:rPr>
          <w:rFonts w:ascii="Bookman Old Style" w:hAnsi="Bookman Old Style" w:cs="Arial"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sz w:val="22"/>
          <w:szCs w:val="22"/>
          <w:lang w:val="id-ID"/>
        </w:rPr>
        <w:t>Lampiran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ab/>
        <w:t>:</w:t>
      </w:r>
      <w:r w:rsidRPr="00197D99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97D99">
        <w:rPr>
          <w:rFonts w:ascii="Bookman Old Style" w:hAnsi="Bookman Old Style" w:cs="Arial"/>
          <w:sz w:val="22"/>
          <w:szCs w:val="22"/>
        </w:rPr>
        <w:t>1 (</w:t>
      </w:r>
      <w:r w:rsidRPr="00197D99">
        <w:rPr>
          <w:rFonts w:ascii="Bookman Old Style" w:hAnsi="Bookman Old Style" w:cs="Arial"/>
          <w:sz w:val="22"/>
          <w:szCs w:val="22"/>
          <w:lang w:val="en-ID"/>
        </w:rPr>
        <w:t>satu) lembar</w:t>
      </w:r>
    </w:p>
    <w:p w:rsidR="00C55CF7" w:rsidRPr="00197D99" w:rsidRDefault="00C55CF7" w:rsidP="00197D99">
      <w:pPr>
        <w:tabs>
          <w:tab w:val="left" w:pos="1276"/>
        </w:tabs>
        <w:spacing w:line="360" w:lineRule="auto"/>
        <w:ind w:left="1440" w:right="3073" w:hanging="1440"/>
        <w:rPr>
          <w:rFonts w:ascii="Bookman Old Style" w:hAnsi="Bookman Old Style" w:cs="Arial"/>
          <w:sz w:val="22"/>
          <w:szCs w:val="22"/>
          <w:lang w:val="sv-SE"/>
        </w:rPr>
      </w:pPr>
      <w:r w:rsidRPr="00197D99">
        <w:rPr>
          <w:rFonts w:ascii="Bookman Old Style" w:hAnsi="Bookman Old Style" w:cs="Arial"/>
          <w:sz w:val="22"/>
          <w:szCs w:val="22"/>
          <w:lang w:val="sv-SE"/>
        </w:rPr>
        <w:t>Hal</w:t>
      </w:r>
      <w:r w:rsidRPr="00197D99">
        <w:rPr>
          <w:rFonts w:ascii="Bookman Old Style" w:hAnsi="Bookman Old Style" w:cs="Arial"/>
          <w:sz w:val="22"/>
          <w:szCs w:val="22"/>
          <w:lang w:val="sv-SE"/>
        </w:rPr>
        <w:tab/>
        <w:t xml:space="preserve">: </w:t>
      </w:r>
      <w:r w:rsidR="00197D99" w:rsidRPr="00197D99">
        <w:rPr>
          <w:rFonts w:ascii="Bookman Old Style" w:hAnsi="Bookman Old Style" w:cs="Arial"/>
          <w:sz w:val="22"/>
          <w:szCs w:val="22"/>
          <w:lang w:val="sv-SE"/>
        </w:rPr>
        <w:t xml:space="preserve">Pengajuan Usulan Asuransi </w:t>
      </w:r>
    </w:p>
    <w:p w:rsidR="00197D99" w:rsidRPr="00197D99" w:rsidRDefault="00197D99" w:rsidP="00197D99">
      <w:pPr>
        <w:tabs>
          <w:tab w:val="left" w:pos="1276"/>
        </w:tabs>
        <w:spacing w:line="360" w:lineRule="auto"/>
        <w:ind w:left="1440" w:right="3073" w:hanging="1440"/>
        <w:rPr>
          <w:rFonts w:ascii="Bookman Old Style" w:hAnsi="Bookman Old Style" w:cs="Arial"/>
          <w:sz w:val="22"/>
          <w:szCs w:val="22"/>
          <w:lang w:val="id-ID"/>
        </w:rPr>
      </w:pPr>
      <w:r w:rsidRPr="00197D99">
        <w:rPr>
          <w:rFonts w:ascii="Bookman Old Style" w:hAnsi="Bookman Old Style" w:cs="Arial"/>
          <w:sz w:val="22"/>
          <w:szCs w:val="22"/>
          <w:lang w:val="sv-SE"/>
        </w:rPr>
        <w:tab/>
        <w:t xml:space="preserve">  BMN Tahun Anggaran 2025</w:t>
      </w:r>
    </w:p>
    <w:p w:rsidR="00B10BD2" w:rsidRPr="00197D99" w:rsidRDefault="00B10BD2" w:rsidP="00197D99">
      <w:pPr>
        <w:spacing w:line="360" w:lineRule="auto"/>
        <w:ind w:right="4439"/>
        <w:rPr>
          <w:rFonts w:ascii="Bookman Old Style" w:hAnsi="Bookman Old Style" w:cs="Arial"/>
          <w:sz w:val="22"/>
          <w:szCs w:val="22"/>
          <w:lang w:val="id-ID"/>
        </w:rPr>
      </w:pPr>
    </w:p>
    <w:p w:rsidR="00197D99" w:rsidRPr="00197D99" w:rsidRDefault="00197D99" w:rsidP="00197D99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97D99">
        <w:rPr>
          <w:rFonts w:ascii="Bookman Old Style" w:hAnsi="Bookman Old Style"/>
          <w:b w:val="0"/>
          <w:sz w:val="22"/>
          <w:szCs w:val="22"/>
        </w:rPr>
        <w:t xml:space="preserve">Yth. </w:t>
      </w:r>
    </w:p>
    <w:p w:rsidR="00197D99" w:rsidRPr="00197D99" w:rsidRDefault="00197D99" w:rsidP="00197D99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97D99">
        <w:rPr>
          <w:rFonts w:ascii="Bookman Old Style" w:hAnsi="Bookman Old Style"/>
          <w:b w:val="0"/>
          <w:sz w:val="22"/>
          <w:szCs w:val="22"/>
        </w:rPr>
        <w:t xml:space="preserve">1. Sekretaris/Kuasa Pengguna Barang Pengadilan Tinggi Padang </w:t>
      </w:r>
    </w:p>
    <w:p w:rsidR="00197D99" w:rsidRPr="00197D99" w:rsidRDefault="00197D99" w:rsidP="00197D99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97D99">
        <w:rPr>
          <w:rFonts w:ascii="Bookman Old Style" w:hAnsi="Bookman Old Style"/>
          <w:b w:val="0"/>
          <w:sz w:val="22"/>
          <w:szCs w:val="22"/>
        </w:rPr>
        <w:t>2. Sekretaris/Kuasa Pengguna Barang Pengadilan Negeri Se-Sumatera Barat</w:t>
      </w:r>
    </w:p>
    <w:p w:rsidR="00197D99" w:rsidRPr="00197D99" w:rsidRDefault="00197D99" w:rsidP="00197D99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97D99">
        <w:rPr>
          <w:rFonts w:ascii="Bookman Old Style" w:hAnsi="Bookman Old Style"/>
          <w:b w:val="0"/>
          <w:sz w:val="22"/>
          <w:szCs w:val="22"/>
        </w:rPr>
        <w:t>3. Sekretaris/Kuasa Pengguna Barang Pengadilan Agama Se-Sumatera Barat</w:t>
      </w:r>
    </w:p>
    <w:p w:rsidR="00197D99" w:rsidRPr="00197D99" w:rsidRDefault="00197D99" w:rsidP="00197D99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97D99">
        <w:rPr>
          <w:rFonts w:ascii="Bookman Old Style" w:hAnsi="Bookman Old Style"/>
          <w:b w:val="0"/>
          <w:sz w:val="22"/>
          <w:szCs w:val="22"/>
        </w:rPr>
        <w:t>4. Sekretaris/Kuasa Pengguna Barang Pengadilan Militer I-03 Padang</w:t>
      </w:r>
    </w:p>
    <w:p w:rsidR="00B10BD2" w:rsidRPr="00197D99" w:rsidRDefault="00197D99" w:rsidP="00197D99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97D99">
        <w:rPr>
          <w:rFonts w:ascii="Bookman Old Style" w:hAnsi="Bookman Old Style"/>
          <w:b w:val="0"/>
          <w:sz w:val="22"/>
          <w:szCs w:val="22"/>
        </w:rPr>
        <w:t xml:space="preserve">5. Sekretaris/Kuasa Pengguna Barang Pengadilan Tata Usaha Negara Padang </w:t>
      </w:r>
    </w:p>
    <w:p w:rsidR="00B10BD2" w:rsidRPr="00197D99" w:rsidRDefault="00B10BD2" w:rsidP="00197D99">
      <w:pPr>
        <w:pStyle w:val="ListParagraph"/>
        <w:spacing w:after="200" w:line="360" w:lineRule="auto"/>
        <w:ind w:left="1948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C55CF7" w:rsidRPr="00197D99" w:rsidRDefault="00C55CF7" w:rsidP="00197D99">
      <w:pPr>
        <w:pStyle w:val="Subtitle"/>
        <w:spacing w:line="360" w:lineRule="auto"/>
        <w:jc w:val="both"/>
        <w:rPr>
          <w:rFonts w:ascii="Bookman Old Style" w:hAnsi="Bookman Old Style" w:cs="Arial"/>
          <w:b w:val="0"/>
          <w:bCs w:val="0"/>
          <w:sz w:val="22"/>
          <w:szCs w:val="22"/>
          <w:lang w:val="fi-FI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fi-FI"/>
        </w:rPr>
        <w:t>Assalamu’alaikum W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>a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fi-FI"/>
        </w:rPr>
        <w:t>r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>ahmatullahi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fi-FI"/>
        </w:rPr>
        <w:t xml:space="preserve"> W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>a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fi-FI"/>
        </w:rPr>
        <w:t>b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>arakatuh.</w:t>
      </w:r>
    </w:p>
    <w:p w:rsidR="00197D99" w:rsidRPr="00197D99" w:rsidRDefault="00C55CF7" w:rsidP="00197D99">
      <w:pPr>
        <w:spacing w:line="360" w:lineRule="auto"/>
        <w:ind w:left="100"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sz w:val="22"/>
          <w:szCs w:val="22"/>
          <w:lang w:val="en-ID"/>
        </w:rPr>
        <w:tab/>
        <w:t xml:space="preserve"> Menindaklanjuti 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 xml:space="preserve">Surat </w:t>
      </w:r>
      <w:r w:rsidR="00197D99">
        <w:rPr>
          <w:rFonts w:ascii="Bookman Old Style" w:hAnsi="Bookman Old Style" w:cs="Arial"/>
          <w:sz w:val="22"/>
          <w:szCs w:val="22"/>
          <w:lang w:val="en-ID"/>
        </w:rPr>
        <w:t>Plt. Sekretaris Mahkamah Agung Republik Indonesia N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 xml:space="preserve">omor </w:t>
      </w:r>
      <w:r w:rsidR="00197D99">
        <w:rPr>
          <w:rFonts w:ascii="Bookman Old Style" w:hAnsi="Bookman Old Style" w:cs="Arial"/>
          <w:sz w:val="22"/>
          <w:szCs w:val="22"/>
          <w:lang w:val="en-ID"/>
        </w:rPr>
        <w:t>32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>/</w:t>
      </w:r>
      <w:r w:rsidR="00197D99">
        <w:rPr>
          <w:rFonts w:ascii="Bookman Old Style" w:hAnsi="Bookman Old Style" w:cs="Arial"/>
          <w:sz w:val="22"/>
          <w:szCs w:val="22"/>
          <w:lang w:val="en-ID"/>
        </w:rPr>
        <w:t>SEK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>/</w:t>
      </w:r>
      <w:r w:rsidR="00B10BD2" w:rsidRPr="00197D99">
        <w:rPr>
          <w:rFonts w:ascii="Bookman Old Style" w:hAnsi="Bookman Old Style" w:cs="Arial"/>
          <w:bCs/>
          <w:sz w:val="22"/>
          <w:szCs w:val="22"/>
          <w:lang w:val="en-ID"/>
        </w:rPr>
        <w:t>PL1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>/</w:t>
      </w:r>
      <w:r w:rsidR="00197D99">
        <w:rPr>
          <w:rFonts w:ascii="Bookman Old Style" w:hAnsi="Bookman Old Style" w:cs="Arial"/>
          <w:bCs/>
          <w:sz w:val="22"/>
          <w:szCs w:val="22"/>
          <w:lang w:val="en-ID"/>
        </w:rPr>
        <w:t>I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>/202</w:t>
      </w:r>
      <w:r w:rsidR="00197D99">
        <w:rPr>
          <w:rFonts w:ascii="Bookman Old Style" w:hAnsi="Bookman Old Style" w:cs="Arial"/>
          <w:sz w:val="22"/>
          <w:szCs w:val="22"/>
          <w:lang w:val="en-ID"/>
        </w:rPr>
        <w:t>4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r w:rsidR="00396804" w:rsidRPr="00197D99">
        <w:rPr>
          <w:rFonts w:ascii="Bookman Old Style" w:hAnsi="Bookman Old Style" w:cs="Arial"/>
          <w:sz w:val="22"/>
          <w:szCs w:val="22"/>
          <w:lang w:val="en-ID"/>
        </w:rPr>
        <w:t xml:space="preserve">tanggal </w:t>
      </w:r>
      <w:r w:rsidR="00197D99">
        <w:rPr>
          <w:rFonts w:ascii="Bookman Old Style" w:hAnsi="Bookman Old Style" w:cs="Arial"/>
          <w:bCs/>
          <w:sz w:val="22"/>
          <w:szCs w:val="22"/>
          <w:lang w:val="en-ID"/>
        </w:rPr>
        <w:t>31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r w:rsidR="00197D99">
        <w:rPr>
          <w:rFonts w:ascii="Bookman Old Style" w:hAnsi="Bookman Old Style" w:cs="Arial"/>
          <w:bCs/>
          <w:sz w:val="22"/>
          <w:szCs w:val="22"/>
          <w:lang w:val="en-ID"/>
        </w:rPr>
        <w:t>Januari</w:t>
      </w:r>
      <w:r w:rsidR="00B10BD2" w:rsidRPr="00197D99"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>202</w:t>
      </w:r>
      <w:r w:rsidR="00197D99">
        <w:rPr>
          <w:rFonts w:ascii="Bookman Old Style" w:hAnsi="Bookman Old Style" w:cs="Arial"/>
          <w:sz w:val="22"/>
          <w:szCs w:val="22"/>
          <w:lang w:val="en-ID"/>
        </w:rPr>
        <w:t>4</w:t>
      </w:r>
      <w:r w:rsidR="00473C45" w:rsidRPr="00197D99">
        <w:rPr>
          <w:rFonts w:ascii="Bookman Old Style" w:hAnsi="Bookman Old Style" w:cs="Arial"/>
          <w:sz w:val="22"/>
          <w:szCs w:val="22"/>
          <w:lang w:val="en-ID"/>
        </w:rPr>
        <w:t xml:space="preserve"> tentang </w:t>
      </w:r>
      <w:r w:rsidR="00197D99">
        <w:rPr>
          <w:rFonts w:ascii="Bookman Old Style" w:hAnsi="Bookman Old Style" w:cs="Arial"/>
          <w:sz w:val="22"/>
          <w:szCs w:val="22"/>
          <w:lang w:val="en-ID"/>
        </w:rPr>
        <w:t>Pengajuan Usulan Asuransi BMN</w:t>
      </w:r>
      <w:r w:rsidR="00B10BD2" w:rsidRPr="00197D99">
        <w:rPr>
          <w:rFonts w:ascii="Bookman Old Style" w:hAnsi="Bookman Old Style" w:cs="Arial"/>
          <w:bCs/>
          <w:sz w:val="22"/>
          <w:szCs w:val="22"/>
          <w:lang w:val="en-ID"/>
        </w:rPr>
        <w:t xml:space="preserve"> Tahun </w:t>
      </w:r>
      <w:r w:rsidR="00197D99">
        <w:rPr>
          <w:rFonts w:ascii="Bookman Old Style" w:hAnsi="Bookman Old Style" w:cs="Arial"/>
          <w:bCs/>
          <w:sz w:val="22"/>
          <w:szCs w:val="22"/>
          <w:lang w:val="en-ID"/>
        </w:rPr>
        <w:t xml:space="preserve">Anggaran </w:t>
      </w:r>
      <w:r w:rsidR="00B10BD2" w:rsidRPr="00197D99">
        <w:rPr>
          <w:rFonts w:ascii="Bookman Old Style" w:hAnsi="Bookman Old Style" w:cs="Arial"/>
          <w:bCs/>
          <w:sz w:val="22"/>
          <w:szCs w:val="22"/>
          <w:lang w:val="en-ID"/>
        </w:rPr>
        <w:t>202</w:t>
      </w:r>
      <w:r w:rsidR="00197D99">
        <w:rPr>
          <w:rFonts w:ascii="Bookman Old Style" w:hAnsi="Bookman Old Style" w:cs="Arial"/>
          <w:bCs/>
          <w:sz w:val="22"/>
          <w:szCs w:val="22"/>
          <w:lang w:val="en-ID"/>
        </w:rPr>
        <w:t>5, b</w:t>
      </w:r>
      <w:r w:rsidR="00197D99" w:rsidRPr="00197D99">
        <w:rPr>
          <w:rFonts w:ascii="Bookman Old Style" w:hAnsi="Bookman Old Style" w:cs="Arial"/>
          <w:bCs/>
          <w:sz w:val="22"/>
          <w:szCs w:val="22"/>
          <w:lang w:val="en-ID"/>
        </w:rPr>
        <w:t>ersama ini kami sampaikan kepada seluruh</w:t>
      </w:r>
    </w:p>
    <w:p w:rsidR="00197D99" w:rsidRPr="00197D99" w:rsidRDefault="00197D99" w:rsidP="00197D99">
      <w:pPr>
        <w:spacing w:line="360" w:lineRule="auto"/>
        <w:ind w:left="100"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Kuasa Pengguna Barang agar dapat mengajukan usulan Asuransi Barang Milik</w:t>
      </w:r>
    </w:p>
    <w:p w:rsidR="00197D99" w:rsidRPr="00197D99" w:rsidRDefault="00197D99" w:rsidP="00197D99">
      <w:pPr>
        <w:spacing w:line="360" w:lineRule="auto"/>
        <w:ind w:left="100"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 xml:space="preserve">egara kepada Pengguna Barang melalui Aplikasi e-SADEWA. </w:t>
      </w:r>
    </w:p>
    <w:p w:rsidR="00197D99" w:rsidRPr="00197D99" w:rsidRDefault="00197D99" w:rsidP="00197D99">
      <w:pPr>
        <w:spacing w:line="360" w:lineRule="auto"/>
        <w:ind w:left="100" w:right="72" w:firstLine="620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Dalam mengajukan usulan tersebut, satuan kerja dapat memperhatikan hal-hal</w:t>
      </w: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sebagai berikut:</w:t>
      </w:r>
    </w:p>
    <w:p w:rsidR="00197D99" w:rsidRPr="00197D99" w:rsidRDefault="00197D99" w:rsidP="00197D99">
      <w:pPr>
        <w:pStyle w:val="ListParagraph"/>
        <w:numPr>
          <w:ilvl w:val="0"/>
          <w:numId w:val="10"/>
        </w:numPr>
        <w:spacing w:line="360" w:lineRule="auto"/>
        <w:ind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Objek dari asuransi yaitu Bangunan Gedung Kantor Permanen,</w:t>
      </w: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kode barang</w:t>
      </w:r>
    </w:p>
    <w:p w:rsidR="00197D99" w:rsidRDefault="00197D99" w:rsidP="00197D99">
      <w:pPr>
        <w:spacing w:line="360" w:lineRule="auto"/>
        <w:ind w:left="100"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    </w:t>
      </w: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4010101001.</w:t>
      </w:r>
    </w:p>
    <w:p w:rsidR="00F94B65" w:rsidRPr="00197D99" w:rsidRDefault="00F94B65" w:rsidP="00F94B65">
      <w:pPr>
        <w:pStyle w:val="ListParagraph"/>
        <w:numPr>
          <w:ilvl w:val="0"/>
          <w:numId w:val="10"/>
        </w:numPr>
        <w:spacing w:line="360" w:lineRule="auto"/>
        <w:ind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Bangunan gedung kantor permanen yang akan diasuransikan dalam kondisi</w:t>
      </w:r>
    </w:p>
    <w:p w:rsidR="00197D99" w:rsidRPr="00197D99" w:rsidRDefault="00F94B65" w:rsidP="00F94B65">
      <w:pPr>
        <w:pStyle w:val="ListParagraph"/>
        <w:spacing w:line="360" w:lineRule="auto"/>
        <w:ind w:left="460"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197D99">
        <w:rPr>
          <w:rFonts w:ascii="Bookman Old Style" w:hAnsi="Bookman Old Style" w:cs="Arial"/>
          <w:bCs/>
          <w:sz w:val="22"/>
          <w:szCs w:val="22"/>
          <w:lang w:val="en-ID"/>
        </w:rPr>
        <w:t>baik.</w:t>
      </w:r>
    </w:p>
    <w:p w:rsidR="00F94B65" w:rsidRDefault="00F94B65" w:rsidP="00F94B65">
      <w:pPr>
        <w:pStyle w:val="ListParagraph"/>
        <w:numPr>
          <w:ilvl w:val="0"/>
          <w:numId w:val="10"/>
        </w:numPr>
        <w:spacing w:line="360" w:lineRule="auto"/>
        <w:ind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>Melengkapi data aset Bangunan Gedung per NUP menu detail Barang Milik</w:t>
      </w: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>Negara pada Aplikasi SIMAN (alamat, luasan, jumlah lantai, kode pos, gambar</w:t>
      </w: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 xml:space="preserve">dan lainnya). </w:t>
      </w:r>
    </w:p>
    <w:p w:rsidR="00197D99" w:rsidRDefault="00F94B65" w:rsidP="00F94B65">
      <w:pPr>
        <w:pStyle w:val="ListParagraph"/>
        <w:numPr>
          <w:ilvl w:val="0"/>
          <w:numId w:val="10"/>
        </w:numPr>
        <w:spacing w:line="360" w:lineRule="auto"/>
        <w:ind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>Apabila terdapat aset yang rencana akan dilakukan penggabungan NUP, satuan</w:t>
      </w: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>kerja dapat melakukan proses penggabungan NUP terlebih dahulu, selanjutnya</w:t>
      </w:r>
      <w:r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>dapat mengajukan Asuransi Barang Milik Negara.</w:t>
      </w:r>
    </w:p>
    <w:p w:rsidR="00197D99" w:rsidRDefault="00197D99" w:rsidP="00F94B65">
      <w:pPr>
        <w:pStyle w:val="ListParagraph"/>
        <w:numPr>
          <w:ilvl w:val="0"/>
          <w:numId w:val="10"/>
        </w:numPr>
        <w:spacing w:line="360" w:lineRule="auto"/>
        <w:ind w:right="72"/>
        <w:jc w:val="both"/>
        <w:rPr>
          <w:rFonts w:ascii="Bookman Old Style" w:hAnsi="Bookman Old Style" w:cs="Arial"/>
          <w:bCs/>
          <w:sz w:val="22"/>
          <w:szCs w:val="22"/>
          <w:lang w:val="en-ID"/>
        </w:rPr>
      </w:pP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lastRenderedPageBreak/>
        <w:t>Bangunan gedung kantor permanen yang diusulkan untuk diasuransikan tidak</w:t>
      </w:r>
      <w:r w:rsidR="00F94B65"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 xml:space="preserve">dapat direncanakan untuk dilakukan pemindahtanganan dan/atau penghapusan. </w:t>
      </w:r>
    </w:p>
    <w:p w:rsidR="00B10BD2" w:rsidRPr="00F94B65" w:rsidRDefault="00197D99" w:rsidP="00C111A7">
      <w:pPr>
        <w:pStyle w:val="ListParagraph"/>
        <w:numPr>
          <w:ilvl w:val="0"/>
          <w:numId w:val="10"/>
        </w:numPr>
        <w:spacing w:before="6" w:line="360" w:lineRule="auto"/>
        <w:ind w:right="72"/>
        <w:jc w:val="both"/>
        <w:rPr>
          <w:rFonts w:ascii="Bookman Old Style" w:hAnsi="Bookman Old Style"/>
          <w:sz w:val="22"/>
          <w:szCs w:val="22"/>
        </w:rPr>
      </w:pP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>Bangunan gedung kantor permanen dalam proses rehabilisasi/renovasi dapat</w:t>
      </w:r>
      <w:r w:rsidR="00F94B65" w:rsidRPr="00F94B65"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  <w:r w:rsidRPr="00F94B65">
        <w:rPr>
          <w:rFonts w:ascii="Bookman Old Style" w:hAnsi="Bookman Old Style" w:cs="Arial"/>
          <w:bCs/>
          <w:sz w:val="22"/>
          <w:szCs w:val="22"/>
          <w:lang w:val="en-ID"/>
        </w:rPr>
        <w:t xml:space="preserve">diusulkan pengajuan Asuransi Barang Milik Negara.  </w:t>
      </w:r>
      <w:r w:rsidR="00B10BD2" w:rsidRPr="00F94B65">
        <w:rPr>
          <w:rFonts w:ascii="Bookman Old Style" w:hAnsi="Bookman Old Style" w:cs="Arial"/>
          <w:bCs/>
          <w:sz w:val="22"/>
          <w:szCs w:val="22"/>
          <w:lang w:val="en-ID"/>
        </w:rPr>
        <w:t xml:space="preserve"> </w:t>
      </w:r>
    </w:p>
    <w:p w:rsidR="00F94B65" w:rsidRPr="00F94B65" w:rsidRDefault="00F94B65" w:rsidP="00F94B65">
      <w:pPr>
        <w:pStyle w:val="ListParagraph"/>
        <w:spacing w:before="6" w:line="360" w:lineRule="auto"/>
        <w:ind w:left="460" w:right="72"/>
        <w:jc w:val="both"/>
        <w:rPr>
          <w:rFonts w:ascii="Bookman Old Style" w:hAnsi="Bookman Old Style"/>
          <w:sz w:val="22"/>
          <w:szCs w:val="22"/>
        </w:rPr>
      </w:pPr>
    </w:p>
    <w:p w:rsidR="00F94B65" w:rsidRPr="00F94B65" w:rsidRDefault="00F94B65" w:rsidP="00F94B65">
      <w:pPr>
        <w:spacing w:line="360" w:lineRule="auto"/>
        <w:ind w:left="100" w:right="72" w:firstLine="566"/>
        <w:jc w:val="both"/>
        <w:rPr>
          <w:rFonts w:ascii="Bookman Old Style" w:eastAsia="Arial" w:hAnsi="Bookman Old Style" w:cs="Arial"/>
          <w:sz w:val="22"/>
          <w:szCs w:val="22"/>
        </w:rPr>
      </w:pPr>
      <w:r w:rsidRPr="00F94B65">
        <w:rPr>
          <w:rFonts w:ascii="Bookman Old Style" w:eastAsia="Arial" w:hAnsi="Bookman Old Style" w:cs="Arial"/>
          <w:sz w:val="22"/>
          <w:szCs w:val="22"/>
        </w:rPr>
        <w:t>Batas waktu pengajuan usulan Asuransi Bar</w:t>
      </w:r>
      <w:r>
        <w:rPr>
          <w:rFonts w:ascii="Bookman Old Style" w:eastAsia="Arial" w:hAnsi="Bookman Old Style" w:cs="Arial"/>
          <w:sz w:val="22"/>
          <w:szCs w:val="22"/>
        </w:rPr>
        <w:t xml:space="preserve">ang Milik Negara Tahun Anggaran </w:t>
      </w:r>
      <w:r w:rsidRPr="00F94B65">
        <w:rPr>
          <w:rFonts w:ascii="Bookman Old Style" w:eastAsia="Arial" w:hAnsi="Bookman Old Style" w:cs="Arial"/>
          <w:sz w:val="22"/>
          <w:szCs w:val="22"/>
        </w:rPr>
        <w:t>2025 melalui Aplikasi e-SADEWA adalah 29 Februari 2024.</w:t>
      </w:r>
    </w:p>
    <w:p w:rsidR="00F94B65" w:rsidRPr="00F94B65" w:rsidRDefault="00F94B65" w:rsidP="00F94B65">
      <w:pPr>
        <w:spacing w:line="360" w:lineRule="auto"/>
        <w:ind w:left="100" w:right="72" w:firstLine="566"/>
        <w:jc w:val="both"/>
        <w:rPr>
          <w:rFonts w:ascii="Bookman Old Style" w:eastAsia="Arial" w:hAnsi="Bookman Old Style" w:cs="Arial"/>
          <w:sz w:val="22"/>
          <w:szCs w:val="22"/>
        </w:rPr>
      </w:pPr>
      <w:r w:rsidRPr="00F94B65">
        <w:rPr>
          <w:rFonts w:ascii="Bookman Old Style" w:eastAsia="Arial" w:hAnsi="Bookman Old Style" w:cs="Arial"/>
          <w:sz w:val="22"/>
          <w:szCs w:val="22"/>
        </w:rPr>
        <w:t>Informasi lebih lanjut dalam pengajuan usulan Asuransi Barang Milik Negara</w:t>
      </w:r>
    </w:p>
    <w:p w:rsidR="00F94B65" w:rsidRPr="00F94B65" w:rsidRDefault="00F94B65" w:rsidP="00F94B65">
      <w:pPr>
        <w:spacing w:line="360" w:lineRule="auto"/>
        <w:ind w:left="100" w:right="72"/>
        <w:jc w:val="both"/>
        <w:rPr>
          <w:rFonts w:ascii="Bookman Old Style" w:eastAsia="Arial" w:hAnsi="Bookman Old Style" w:cs="Arial"/>
          <w:sz w:val="22"/>
          <w:szCs w:val="22"/>
        </w:rPr>
      </w:pPr>
      <w:r w:rsidRPr="00F94B65">
        <w:rPr>
          <w:rFonts w:ascii="Bookman Old Style" w:eastAsia="Arial" w:hAnsi="Bookman Old Style" w:cs="Arial"/>
          <w:sz w:val="22"/>
          <w:szCs w:val="22"/>
        </w:rPr>
        <w:t>dapat menghubungi narahubung Saudari Ulfah Apriani (Kepala Sub Bagian Bimbingan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Pr="00F94B65">
        <w:rPr>
          <w:rFonts w:ascii="Bookman Old Style" w:eastAsia="Arial" w:hAnsi="Bookman Old Style" w:cs="Arial"/>
          <w:sz w:val="22"/>
          <w:szCs w:val="22"/>
        </w:rPr>
        <w:t>dan Monitoring B / 081286151313) dan Saudara Nur Rahmat Baskara (Kepala Sub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Pr="00F94B65">
        <w:rPr>
          <w:rFonts w:ascii="Bookman Old Style" w:eastAsia="Arial" w:hAnsi="Bookman Old Style" w:cs="Arial"/>
          <w:sz w:val="22"/>
          <w:szCs w:val="22"/>
        </w:rPr>
        <w:t xml:space="preserve">Bagian Bimbingan dan Monitoring C / 082124001011). </w:t>
      </w:r>
    </w:p>
    <w:p w:rsidR="00427601" w:rsidRPr="00197D99" w:rsidRDefault="00427601" w:rsidP="00197D99">
      <w:pPr>
        <w:pStyle w:val="Subtitle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C55CF7" w:rsidRPr="00197D99" w:rsidRDefault="00C55CF7" w:rsidP="00197D99">
      <w:pPr>
        <w:pStyle w:val="Subtitle"/>
        <w:spacing w:line="360" w:lineRule="auto"/>
        <w:ind w:firstLine="567"/>
        <w:jc w:val="both"/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noProof/>
          <w:sz w:val="22"/>
          <w:szCs w:val="22"/>
        </w:rPr>
      </w:pP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</w:pP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noProof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 xml:space="preserve">Wassalam, </w:t>
      </w: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  <w:lang w:val="id-ID"/>
        </w:rPr>
        <w:tab/>
      </w:r>
      <w:r w:rsidR="00427601" w:rsidRPr="00197D99">
        <w:rPr>
          <w:rFonts w:ascii="Bookman Old Style" w:hAnsi="Bookman Old Style" w:cs="Arial"/>
          <w:b w:val="0"/>
          <w:bCs w:val="0"/>
          <w:sz w:val="22"/>
          <w:szCs w:val="22"/>
        </w:rPr>
        <w:t xml:space="preserve">Plt </w:t>
      </w:r>
      <w:r w:rsidR="00473C45" w:rsidRPr="00197D99">
        <w:rPr>
          <w:rFonts w:ascii="Bookman Old Style" w:hAnsi="Bookman Old Style" w:cs="Arial"/>
          <w:b w:val="0"/>
          <w:bCs w:val="0"/>
          <w:sz w:val="22"/>
          <w:szCs w:val="22"/>
        </w:rPr>
        <w:t>Sekretaris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 xml:space="preserve">, </w:t>
      </w: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="00427601" w:rsidRPr="00197D99">
        <w:rPr>
          <w:rFonts w:ascii="Bookman Old Style" w:hAnsi="Bookman Old Style" w:cs="Arial"/>
          <w:b w:val="0"/>
          <w:bCs w:val="0"/>
          <w:sz w:val="22"/>
          <w:szCs w:val="22"/>
        </w:rPr>
        <w:t>Ismail</w:t>
      </w: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ab/>
      </w: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</w:p>
    <w:p w:rsidR="00C55CF7" w:rsidRPr="00197D99" w:rsidRDefault="00C55CF7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>Tembusan;</w:t>
      </w:r>
    </w:p>
    <w:p w:rsidR="00396804" w:rsidRDefault="00396804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>1. Ketua Pengadilan Tinggi Agama Sumatera Barat</w:t>
      </w:r>
    </w:p>
    <w:p w:rsidR="00F94B65" w:rsidRDefault="00F94B65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sz w:val="22"/>
          <w:szCs w:val="22"/>
        </w:rPr>
        <w:t>2. Ketua Pengadilan Tinggi Padang</w:t>
      </w:r>
    </w:p>
    <w:p w:rsidR="00F94B65" w:rsidRPr="00197D99" w:rsidRDefault="00F94B65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sz w:val="22"/>
          <w:szCs w:val="22"/>
        </w:rPr>
        <w:t xml:space="preserve">3. </w:t>
      </w:r>
      <w:r w:rsidRPr="00197D99">
        <w:rPr>
          <w:rFonts w:ascii="Bookman Old Style" w:hAnsi="Bookman Old Style" w:cs="Arial"/>
          <w:b w:val="0"/>
          <w:bCs w:val="0"/>
          <w:sz w:val="22"/>
          <w:szCs w:val="22"/>
        </w:rPr>
        <w:t>Ketua Pengadilan Agama – Se Sumatera Barat</w:t>
      </w:r>
    </w:p>
    <w:p w:rsidR="00396804" w:rsidRDefault="00F94B65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sz w:val="22"/>
          <w:szCs w:val="22"/>
        </w:rPr>
        <w:t>4. Ketua Pengadilan Negeri</w:t>
      </w:r>
      <w:r w:rsidR="00396804" w:rsidRPr="00197D99">
        <w:rPr>
          <w:rFonts w:ascii="Bookman Old Style" w:hAnsi="Bookman Old Style" w:cs="Arial"/>
          <w:b w:val="0"/>
          <w:bCs w:val="0"/>
          <w:sz w:val="22"/>
          <w:szCs w:val="22"/>
        </w:rPr>
        <w:t xml:space="preserve"> – Se Sumatera Barat</w:t>
      </w:r>
    </w:p>
    <w:p w:rsidR="00F94B65" w:rsidRPr="00197D99" w:rsidRDefault="00F94B65" w:rsidP="00F94B65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sz w:val="22"/>
          <w:szCs w:val="22"/>
        </w:rPr>
        <w:t xml:space="preserve">5. Ketua </w:t>
      </w:r>
      <w:r w:rsidRPr="00197D99">
        <w:rPr>
          <w:rFonts w:ascii="Bookman Old Style" w:hAnsi="Bookman Old Style"/>
          <w:b w:val="0"/>
          <w:sz w:val="22"/>
          <w:szCs w:val="22"/>
        </w:rPr>
        <w:t>Pengadilan Militer I-03 Padang</w:t>
      </w:r>
    </w:p>
    <w:p w:rsidR="00F94B65" w:rsidRPr="00197D99" w:rsidRDefault="00F94B65" w:rsidP="00F94B65">
      <w:pPr>
        <w:pStyle w:val="Subtitle"/>
        <w:tabs>
          <w:tab w:val="left" w:pos="1904"/>
        </w:tabs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6</w:t>
      </w:r>
      <w:r w:rsidRPr="00197D99">
        <w:rPr>
          <w:rFonts w:ascii="Bookman Old Style" w:hAnsi="Bookman Old Style"/>
          <w:b w:val="0"/>
          <w:sz w:val="22"/>
          <w:szCs w:val="22"/>
        </w:rPr>
        <w:t xml:space="preserve">. </w:t>
      </w:r>
      <w:r>
        <w:rPr>
          <w:rFonts w:ascii="Bookman Old Style" w:hAnsi="Bookman Old Style"/>
          <w:b w:val="0"/>
          <w:sz w:val="22"/>
          <w:szCs w:val="22"/>
        </w:rPr>
        <w:t>Ketua</w:t>
      </w:r>
      <w:bookmarkStart w:id="0" w:name="_GoBack"/>
      <w:bookmarkEnd w:id="0"/>
      <w:r w:rsidRPr="00197D99">
        <w:rPr>
          <w:rFonts w:ascii="Bookman Old Style" w:hAnsi="Bookman Old Style"/>
          <w:b w:val="0"/>
          <w:sz w:val="22"/>
          <w:szCs w:val="22"/>
        </w:rPr>
        <w:t xml:space="preserve"> Pengadilan Tata Usaha Negara Padang </w:t>
      </w:r>
    </w:p>
    <w:p w:rsidR="00F94B65" w:rsidRPr="00197D99" w:rsidRDefault="00F94B65" w:rsidP="00197D99">
      <w:pPr>
        <w:pStyle w:val="Subtitle"/>
        <w:tabs>
          <w:tab w:val="left" w:pos="1800"/>
        </w:tabs>
        <w:spacing w:line="360" w:lineRule="auto"/>
        <w:jc w:val="left"/>
        <w:rPr>
          <w:rFonts w:ascii="Bookman Old Style" w:hAnsi="Bookman Old Style" w:cs="Arial"/>
          <w:b w:val="0"/>
          <w:bCs w:val="0"/>
          <w:sz w:val="22"/>
          <w:szCs w:val="22"/>
        </w:rPr>
      </w:pPr>
    </w:p>
    <w:p w:rsidR="00C55CF7" w:rsidRPr="00197D99" w:rsidRDefault="00C55CF7" w:rsidP="00197D99">
      <w:pPr>
        <w:tabs>
          <w:tab w:val="left" w:pos="5160"/>
        </w:tabs>
        <w:spacing w:after="200" w:line="360" w:lineRule="auto"/>
        <w:rPr>
          <w:rFonts w:ascii="Bookman Old Style" w:hAnsi="Bookman Old Style" w:cs="Arial"/>
          <w:b/>
          <w:bCs/>
          <w:iCs/>
          <w:sz w:val="22"/>
          <w:szCs w:val="22"/>
          <w:lang w:val="id-ID"/>
        </w:rPr>
      </w:pPr>
    </w:p>
    <w:p w:rsidR="007A5FD6" w:rsidRPr="00197D99" w:rsidRDefault="007A5FD6" w:rsidP="00197D99">
      <w:pPr>
        <w:tabs>
          <w:tab w:val="left" w:pos="1276"/>
          <w:tab w:val="right" w:pos="9000"/>
        </w:tabs>
        <w:spacing w:line="360" w:lineRule="auto"/>
        <w:rPr>
          <w:rFonts w:ascii="Bookman Old Style" w:hAnsi="Bookman Old Style" w:cs="Arial"/>
          <w:b/>
          <w:iCs/>
          <w:sz w:val="22"/>
          <w:szCs w:val="22"/>
        </w:rPr>
      </w:pPr>
    </w:p>
    <w:sectPr w:rsidR="007A5FD6" w:rsidRPr="00197D99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2" w:rsidRDefault="00A60342" w:rsidP="00D16242">
      <w:r>
        <w:separator/>
      </w:r>
    </w:p>
  </w:endnote>
  <w:endnote w:type="continuationSeparator" w:id="0">
    <w:p w:rsidR="00A60342" w:rsidRDefault="00A6034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2" w:rsidRDefault="00A60342" w:rsidP="00D16242">
      <w:r>
        <w:separator/>
      </w:r>
    </w:p>
  </w:footnote>
  <w:footnote w:type="continuationSeparator" w:id="0">
    <w:p w:rsidR="00A60342" w:rsidRDefault="00A6034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6514B"/>
    <w:multiLevelType w:val="hybridMultilevel"/>
    <w:tmpl w:val="C756DCF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032F"/>
    <w:multiLevelType w:val="hybridMultilevel"/>
    <w:tmpl w:val="7E282C12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7D99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342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4B65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767D-3E38-4C35-8003-2481C34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2023-10-20T01:40:00Z</cp:lastPrinted>
  <dcterms:created xsi:type="dcterms:W3CDTF">2024-02-06T08:38:00Z</dcterms:created>
  <dcterms:modified xsi:type="dcterms:W3CDTF">2024-02-06T08:38:00Z</dcterms:modified>
</cp:coreProperties>
</file>