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3474D665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220D60CB">
                <wp:simplePos x="0" y="0"/>
                <wp:positionH relativeFrom="column">
                  <wp:posOffset>1204595</wp:posOffset>
                </wp:positionH>
                <wp:positionV relativeFrom="paragraph">
                  <wp:posOffset>180340</wp:posOffset>
                </wp:positionV>
                <wp:extent cx="394335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1E0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2pt" to="40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g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</w:t>
      </w:r>
      <w:r w:rsidR="00757C51">
        <w:rPr>
          <w:rFonts w:asciiTheme="majorHAnsi" w:hAnsiTheme="majorHAnsi" w:cs="Arial"/>
          <w:b/>
          <w:sz w:val="20"/>
          <w:szCs w:val="20"/>
        </w:rPr>
        <w:t xml:space="preserve"> WAKIL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 xml:space="preserve"> KETUA PENGADILAN TINGGI AGAMA PADANG</w:t>
      </w:r>
    </w:p>
    <w:p w14:paraId="7D2B7AF7" w14:textId="7E3C0E14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757C51" w:rsidRPr="00757C51">
        <w:rPr>
          <w:rFonts w:asciiTheme="majorHAnsi" w:hAnsiTheme="majorHAnsi" w:cs="Arial"/>
          <w:sz w:val="20"/>
          <w:szCs w:val="20"/>
          <w:lang w:val="id-ID"/>
        </w:rPr>
        <w:t>0734/KPTA.W3-A/PL1.2.3/II/2024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10572258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897A94">
        <w:rPr>
          <w:rFonts w:ascii="Cambria" w:hAnsi="Cambria" w:cs="Arial"/>
          <w:b/>
          <w:sz w:val="20"/>
          <w:szCs w:val="20"/>
          <w:lang w:val="id-ID"/>
        </w:rPr>
        <w:t>PENGADILAN AGAMA BATUSANGKAR KELAS IB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0151B0A5" w:rsidR="00A949C6" w:rsidRDefault="00757C51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WAKIL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178F30F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Batusangkar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404E2A09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Batusangkar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115DCE7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Batusangkar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>Kelas</w:t>
            </w:r>
            <w:proofErr w:type="spellEnd"/>
            <w:r w:rsidR="00897A94">
              <w:rPr>
                <w:rFonts w:ascii="Cambria" w:eastAsia="Arial Unicode MS" w:hAnsi="Cambria" w:cs="Arial"/>
                <w:sz w:val="20"/>
                <w:szCs w:val="20"/>
              </w:rPr>
              <w:t xml:space="preserve"> IB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5D99B763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757C51">
        <w:rPr>
          <w:rFonts w:ascii="Cambria" w:hAnsi="Cambria" w:cs="Arial"/>
          <w:sz w:val="20"/>
          <w:szCs w:val="20"/>
        </w:rPr>
        <w:t>19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57C51">
        <w:rPr>
          <w:rFonts w:ascii="Cambria" w:hAnsi="Cambria" w:cs="Arial"/>
          <w:sz w:val="20"/>
          <w:szCs w:val="20"/>
        </w:rPr>
        <w:t>Februari</w:t>
      </w:r>
      <w:proofErr w:type="spellEnd"/>
      <w:r w:rsidR="00757C51">
        <w:rPr>
          <w:rFonts w:ascii="Cambria" w:hAnsi="Cambria" w:cs="Arial"/>
          <w:sz w:val="20"/>
          <w:szCs w:val="20"/>
        </w:rPr>
        <w:t xml:space="preserve"> 2024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565462C" w14:textId="09C7ED27" w:rsidR="009A33CD" w:rsidRPr="00757C51" w:rsidRDefault="00881B48" w:rsidP="00757C51">
      <w:pPr>
        <w:ind w:right="-278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proofErr w:type="spellStart"/>
      <w:r w:rsidR="00757C51">
        <w:rPr>
          <w:rFonts w:ascii="Cambria" w:hAnsi="Cambria" w:cs="Arial"/>
          <w:b/>
          <w:sz w:val="20"/>
          <w:szCs w:val="20"/>
        </w:rPr>
        <w:t>Rosliani</w:t>
      </w:r>
      <w:proofErr w:type="spellEnd"/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17143AC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57C51">
        <w:rPr>
          <w:rFonts w:ascii="Cambria" w:hAnsi="Cambria" w:cs="Arial"/>
          <w:b/>
          <w:bCs/>
          <w:sz w:val="20"/>
          <w:szCs w:val="20"/>
        </w:rPr>
        <w:t xml:space="preserve">WAKIL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5B9A0875" w14:textId="77777777" w:rsidR="00757C51" w:rsidRDefault="00A949C6" w:rsidP="00757C51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757C51" w:rsidRPr="00757C51">
        <w:rPr>
          <w:rFonts w:ascii="Cambria" w:hAnsi="Cambria" w:cs="Arial"/>
          <w:b/>
          <w:sz w:val="20"/>
          <w:szCs w:val="20"/>
          <w:lang w:val="id-ID"/>
        </w:rPr>
        <w:t>0734/KPTA.W3-A/PL1.2.3/II/2024</w:t>
      </w:r>
    </w:p>
    <w:p w14:paraId="2731533A" w14:textId="3321FBA6" w:rsidR="00A949C6" w:rsidRPr="007D5F4B" w:rsidRDefault="00A949C6" w:rsidP="00757C51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57C51">
        <w:rPr>
          <w:rFonts w:ascii="Cambria" w:hAnsi="Cambria" w:cs="Arial"/>
          <w:b/>
          <w:bCs/>
          <w:sz w:val="20"/>
          <w:szCs w:val="20"/>
        </w:rPr>
        <w:t>19</w:t>
      </w:r>
      <w:r w:rsidR="00A6582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757C51">
        <w:rPr>
          <w:rFonts w:ascii="Cambria" w:hAnsi="Cambria" w:cs="Arial"/>
          <w:b/>
          <w:bCs/>
          <w:sz w:val="20"/>
          <w:szCs w:val="20"/>
        </w:rPr>
        <w:t>Februari</w:t>
      </w:r>
      <w:proofErr w:type="spellEnd"/>
      <w:r w:rsidR="00757C51">
        <w:rPr>
          <w:rFonts w:ascii="Cambria" w:hAnsi="Cambria" w:cs="Arial"/>
          <w:b/>
          <w:bCs/>
          <w:sz w:val="20"/>
          <w:szCs w:val="20"/>
        </w:rPr>
        <w:t xml:space="preserve"> 2024</w:t>
      </w:r>
    </w:p>
    <w:p w14:paraId="4001BA84" w14:textId="77777777" w:rsidR="00A949C6" w:rsidRPr="00CD08D4" w:rsidRDefault="00A949C6" w:rsidP="001E45C1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  <w:bookmarkStart w:id="0" w:name="_GoBack"/>
      <w:bookmarkEnd w:id="0"/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32BA1F6F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897A94">
        <w:rPr>
          <w:rFonts w:ascii="Cambria" w:hAnsi="Cambria" w:cs="Arial"/>
          <w:b/>
          <w:bCs/>
          <w:sz w:val="20"/>
          <w:szCs w:val="20"/>
        </w:rPr>
        <w:t>PENGADILAN AGAMA BATUSANGKAR KELAS IB</w:t>
      </w: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73CEFC87" w:rsidR="00A6582E" w:rsidRPr="00C41C34" w:rsidRDefault="00897A94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Suhenri</w:t>
            </w:r>
            <w:proofErr w:type="spellEnd"/>
            <w:r w:rsidR="00C41C34">
              <w:rPr>
                <w:sz w:val="20"/>
                <w:lang w:val="en-US"/>
              </w:rPr>
              <w:t>, S.</w:t>
            </w:r>
            <w:r>
              <w:rPr>
                <w:sz w:val="20"/>
                <w:lang w:val="en-US"/>
              </w:rPr>
              <w:t>H</w:t>
            </w:r>
            <w:r w:rsidR="00C41C34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I.</w:t>
            </w:r>
          </w:p>
          <w:p w14:paraId="0AA470E9" w14:textId="5A2F0360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</w:rPr>
              <w:t>19661203 198703 1002</w:t>
            </w:r>
          </w:p>
        </w:tc>
        <w:tc>
          <w:tcPr>
            <w:tcW w:w="4557" w:type="dxa"/>
          </w:tcPr>
          <w:p w14:paraId="618C4BA5" w14:textId="14C7EC2B" w:rsidR="00A6582E" w:rsidRPr="00E51DBD" w:rsidRDefault="00C41C34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E3EF133" w14:textId="500F25F3" w:rsidR="00A6582E" w:rsidRDefault="00C41C34" w:rsidP="00897A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Pembina </w:t>
            </w:r>
            <w:r w:rsidR="00897A94">
              <w:rPr>
                <w:sz w:val="20"/>
              </w:rPr>
              <w:t>/ (IV/a</w:t>
            </w:r>
            <w:r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A6582E">
        <w:trPr>
          <w:trHeight w:val="688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27CA4AAE" w:rsidR="00A6582E" w:rsidRPr="00C41C34" w:rsidRDefault="00897A94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Yusra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Asril</w:t>
            </w:r>
            <w:proofErr w:type="spellEnd"/>
            <w:r w:rsidR="00C41C34">
              <w:rPr>
                <w:sz w:val="20"/>
                <w:lang w:val="en-US"/>
              </w:rPr>
              <w:t xml:space="preserve">, </w:t>
            </w:r>
            <w:proofErr w:type="spellStart"/>
            <w:r w:rsidR="00C41C34">
              <w:rPr>
                <w:sz w:val="20"/>
                <w:lang w:val="en-US"/>
              </w:rPr>
              <w:t>S.</w:t>
            </w:r>
            <w:r>
              <w:rPr>
                <w:sz w:val="20"/>
                <w:lang w:val="en-US"/>
              </w:rPr>
              <w:t>Kom</w:t>
            </w:r>
            <w:proofErr w:type="spellEnd"/>
            <w:r w:rsidR="00C41C34">
              <w:rPr>
                <w:sz w:val="20"/>
                <w:lang w:val="en-US"/>
              </w:rPr>
              <w:t>.</w:t>
            </w:r>
          </w:p>
          <w:p w14:paraId="0008DC7E" w14:textId="4380863F" w:rsidR="00A6582E" w:rsidRPr="00C41C34" w:rsidRDefault="00A6582E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  <w:lang w:val="id-ID"/>
              </w:rPr>
              <w:t>19871004 200912 1003</w:t>
            </w:r>
          </w:p>
        </w:tc>
        <w:tc>
          <w:tcPr>
            <w:tcW w:w="4557" w:type="dxa"/>
          </w:tcPr>
          <w:p w14:paraId="6EFF6E97" w14:textId="1FD5B73D" w:rsidR="00A6582E" w:rsidRDefault="00C41C34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dan </w:t>
            </w:r>
            <w:r>
              <w:rPr>
                <w:sz w:val="20"/>
                <w:lang w:val="id-ID"/>
              </w:rPr>
              <w:t>Keuangan</w:t>
            </w:r>
          </w:p>
        </w:tc>
        <w:tc>
          <w:tcPr>
            <w:tcW w:w="2835" w:type="dxa"/>
          </w:tcPr>
          <w:p w14:paraId="58428620" w14:textId="248D7B54" w:rsidR="00A6582E" w:rsidRDefault="00C41C34" w:rsidP="00897A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Penata </w:t>
            </w:r>
            <w:r w:rsidR="00897A94">
              <w:rPr>
                <w:sz w:val="20"/>
              </w:rPr>
              <w:t>/ (III/c</w:t>
            </w:r>
            <w:r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E45C1" w14:paraId="29428ED8" w14:textId="77777777" w:rsidTr="00A6582E">
        <w:trPr>
          <w:trHeight w:val="688"/>
        </w:trPr>
        <w:tc>
          <w:tcPr>
            <w:tcW w:w="528" w:type="dxa"/>
          </w:tcPr>
          <w:p w14:paraId="6A9C1A04" w14:textId="796EB25B" w:rsidR="001E45C1" w:rsidRDefault="001E45C1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26BD4E9D" w14:textId="77777777" w:rsidR="001E45C1" w:rsidRDefault="001E45C1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Rizki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Kurniadi</w:t>
            </w:r>
            <w:proofErr w:type="spellEnd"/>
            <w:r>
              <w:rPr>
                <w:sz w:val="20"/>
                <w:lang w:val="en-US"/>
              </w:rPr>
              <w:t>, S.E.</w:t>
            </w:r>
          </w:p>
          <w:p w14:paraId="019F07B0" w14:textId="7771CC3D" w:rsidR="001E45C1" w:rsidRDefault="001E45C1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NIP. 19841121 200912 1002</w:t>
            </w:r>
          </w:p>
        </w:tc>
        <w:tc>
          <w:tcPr>
            <w:tcW w:w="4557" w:type="dxa"/>
          </w:tcPr>
          <w:p w14:paraId="4CF6A48F" w14:textId="63B53BDD" w:rsidR="001E45C1" w:rsidRDefault="001E45C1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Kepala Subbagian Perencanaan, TI dan Pelaporan</w:t>
            </w:r>
          </w:p>
        </w:tc>
        <w:tc>
          <w:tcPr>
            <w:tcW w:w="2835" w:type="dxa"/>
          </w:tcPr>
          <w:p w14:paraId="2D13CF94" w14:textId="740AC323" w:rsidR="001E45C1" w:rsidRDefault="001E45C1" w:rsidP="00897A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 / (III/c)</w:t>
            </w:r>
          </w:p>
        </w:tc>
        <w:tc>
          <w:tcPr>
            <w:tcW w:w="2977" w:type="dxa"/>
          </w:tcPr>
          <w:p w14:paraId="6C0F2699" w14:textId="5BED1BC3" w:rsidR="001E45C1" w:rsidRDefault="001E45C1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C48A083" w14:textId="77777777" w:rsidR="001E45C1" w:rsidRDefault="001E45C1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A6582E">
        <w:trPr>
          <w:trHeight w:val="690"/>
        </w:trPr>
        <w:tc>
          <w:tcPr>
            <w:tcW w:w="528" w:type="dxa"/>
          </w:tcPr>
          <w:p w14:paraId="4C67DEBB" w14:textId="35EA5BEF" w:rsidR="00A6582E" w:rsidRDefault="001E45C1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582E">
              <w:rPr>
                <w:sz w:val="20"/>
              </w:rPr>
              <w:t>.</w:t>
            </w:r>
          </w:p>
        </w:tc>
        <w:tc>
          <w:tcPr>
            <w:tcW w:w="3583" w:type="dxa"/>
          </w:tcPr>
          <w:p w14:paraId="7FAEFD13" w14:textId="77777777" w:rsidR="00897A94" w:rsidRDefault="00897A9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 w:rsidRPr="00897A94">
              <w:rPr>
                <w:sz w:val="20"/>
                <w:lang w:val="en-US"/>
              </w:rPr>
              <w:t>Wira</w:t>
            </w:r>
            <w:proofErr w:type="spellEnd"/>
            <w:r w:rsidRPr="00897A94">
              <w:rPr>
                <w:sz w:val="20"/>
                <w:lang w:val="en-US"/>
              </w:rPr>
              <w:t xml:space="preserve"> </w:t>
            </w:r>
            <w:proofErr w:type="spellStart"/>
            <w:r w:rsidRPr="00897A94">
              <w:rPr>
                <w:sz w:val="20"/>
                <w:lang w:val="en-US"/>
              </w:rPr>
              <w:t>Akhdiana</w:t>
            </w:r>
            <w:proofErr w:type="spellEnd"/>
            <w:r w:rsidRPr="00897A94">
              <w:rPr>
                <w:sz w:val="20"/>
                <w:lang w:val="en-US"/>
              </w:rPr>
              <w:t>, S.E</w:t>
            </w:r>
          </w:p>
          <w:p w14:paraId="6EDAD42F" w14:textId="7C2A3FA5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="00897A94" w:rsidRPr="00897A94">
              <w:rPr>
                <w:sz w:val="20"/>
                <w:lang w:val="en-US"/>
              </w:rPr>
              <w:t>19790625 200912 2004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1D9C8932" w:rsidR="00A6582E" w:rsidRPr="00C41C34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Kepala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Subbagian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Kepegawaian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Ortala</w:t>
            </w:r>
            <w:proofErr w:type="spellEnd"/>
          </w:p>
        </w:tc>
        <w:tc>
          <w:tcPr>
            <w:tcW w:w="2835" w:type="dxa"/>
          </w:tcPr>
          <w:p w14:paraId="216A02D9" w14:textId="6C688C43" w:rsidR="00A6582E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</w:t>
            </w:r>
            <w:r w:rsidR="00637D70">
              <w:rPr>
                <w:sz w:val="20"/>
                <w:lang w:val="en-US"/>
              </w:rPr>
              <w:t>enata</w:t>
            </w:r>
            <w:proofErr w:type="spellEnd"/>
            <w:r w:rsidR="00637D70">
              <w:rPr>
                <w:sz w:val="20"/>
                <w:lang w:val="en-US"/>
              </w:rPr>
              <w:t xml:space="preserve"> Tingkat I </w:t>
            </w:r>
            <w:r>
              <w:rPr>
                <w:sz w:val="20"/>
                <w:lang w:val="en-US"/>
              </w:rPr>
              <w:t xml:space="preserve"> / (</w:t>
            </w:r>
            <w:r w:rsidR="00637D70">
              <w:rPr>
                <w:sz w:val="20"/>
                <w:lang w:val="en-US"/>
              </w:rPr>
              <w:t>III/d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E45C1" w14:paraId="51AE2218" w14:textId="77777777" w:rsidTr="00A6582E">
        <w:trPr>
          <w:trHeight w:val="690"/>
        </w:trPr>
        <w:tc>
          <w:tcPr>
            <w:tcW w:w="528" w:type="dxa"/>
          </w:tcPr>
          <w:p w14:paraId="0081EED8" w14:textId="205EDED8" w:rsidR="001E45C1" w:rsidRDefault="001E45C1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83" w:type="dxa"/>
          </w:tcPr>
          <w:p w14:paraId="7297BC10" w14:textId="77777777" w:rsidR="001E45C1" w:rsidRDefault="001E45C1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Nadatul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Khaira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Amril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S.Ap</w:t>
            </w:r>
            <w:proofErr w:type="spellEnd"/>
          </w:p>
          <w:p w14:paraId="13B48660" w14:textId="7A7063F1" w:rsidR="001E45C1" w:rsidRPr="00897A94" w:rsidRDefault="001E45C1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NIP. 198811012022032007</w:t>
            </w:r>
          </w:p>
        </w:tc>
        <w:tc>
          <w:tcPr>
            <w:tcW w:w="4557" w:type="dxa"/>
          </w:tcPr>
          <w:p w14:paraId="0F93C34E" w14:textId="44B6FE59" w:rsidR="001E45C1" w:rsidRDefault="001E45C1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Analis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Perencanaan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Evaluasi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Pelaporan</w:t>
            </w:r>
            <w:proofErr w:type="spellEnd"/>
          </w:p>
        </w:tc>
        <w:tc>
          <w:tcPr>
            <w:tcW w:w="2835" w:type="dxa"/>
          </w:tcPr>
          <w:p w14:paraId="32B84FAE" w14:textId="3B488874" w:rsidR="001E45C1" w:rsidRDefault="001E45C1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Muda</w:t>
            </w:r>
            <w:proofErr w:type="spellEnd"/>
            <w:r>
              <w:rPr>
                <w:sz w:val="20"/>
                <w:lang w:val="en-US"/>
              </w:rPr>
              <w:t xml:space="preserve"> / (III/a)</w:t>
            </w:r>
          </w:p>
        </w:tc>
        <w:tc>
          <w:tcPr>
            <w:tcW w:w="2977" w:type="dxa"/>
          </w:tcPr>
          <w:p w14:paraId="63D59B37" w14:textId="68A7A819" w:rsidR="001E45C1" w:rsidRDefault="001E45C1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4B07CBD" w14:textId="77777777" w:rsidR="001E45C1" w:rsidRDefault="001E45C1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1EEA8EC7" w14:textId="77777777" w:rsidTr="00A6582E">
        <w:trPr>
          <w:trHeight w:val="690"/>
        </w:trPr>
        <w:tc>
          <w:tcPr>
            <w:tcW w:w="528" w:type="dxa"/>
          </w:tcPr>
          <w:p w14:paraId="23CE5CF1" w14:textId="759987E9" w:rsidR="00637D70" w:rsidRDefault="001E45C1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37D70">
              <w:rPr>
                <w:sz w:val="20"/>
              </w:rPr>
              <w:t xml:space="preserve">. </w:t>
            </w:r>
          </w:p>
        </w:tc>
        <w:tc>
          <w:tcPr>
            <w:tcW w:w="3583" w:type="dxa"/>
          </w:tcPr>
          <w:p w14:paraId="64943ABD" w14:textId="77777777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 w:rsidRPr="00897A94">
              <w:rPr>
                <w:sz w:val="20"/>
                <w:lang w:val="en-US"/>
              </w:rPr>
              <w:t>Putri</w:t>
            </w:r>
            <w:proofErr w:type="spellEnd"/>
            <w:r w:rsidRPr="00897A94">
              <w:rPr>
                <w:sz w:val="20"/>
                <w:lang w:val="en-US"/>
              </w:rPr>
              <w:t xml:space="preserve"> </w:t>
            </w:r>
            <w:proofErr w:type="spellStart"/>
            <w:r w:rsidRPr="00897A94">
              <w:rPr>
                <w:sz w:val="20"/>
                <w:lang w:val="en-US"/>
              </w:rPr>
              <w:t>Monalisa</w:t>
            </w:r>
            <w:proofErr w:type="spellEnd"/>
            <w:r w:rsidRPr="00897A94">
              <w:rPr>
                <w:sz w:val="20"/>
                <w:lang w:val="en-US"/>
              </w:rPr>
              <w:t xml:space="preserve">, </w:t>
            </w:r>
            <w:proofErr w:type="spellStart"/>
            <w:r w:rsidRPr="00897A94">
              <w:rPr>
                <w:sz w:val="20"/>
                <w:lang w:val="en-US"/>
              </w:rPr>
              <w:t>A.Md</w:t>
            </w:r>
            <w:proofErr w:type="spellEnd"/>
          </w:p>
          <w:p w14:paraId="3ED058D3" w14:textId="09012D4D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Pr="00637D70">
              <w:rPr>
                <w:sz w:val="20"/>
                <w:lang w:val="en-US"/>
              </w:rPr>
              <w:t>19901028 202203 2008</w:t>
            </w:r>
          </w:p>
        </w:tc>
        <w:tc>
          <w:tcPr>
            <w:tcW w:w="4557" w:type="dxa"/>
          </w:tcPr>
          <w:p w14:paraId="59EC773C" w14:textId="7803B1E4" w:rsidR="00637D70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Pengelola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Barang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Milik</w:t>
            </w:r>
            <w:proofErr w:type="spellEnd"/>
            <w:r>
              <w:rPr>
                <w:sz w:val="20"/>
                <w:lang w:val="en-US"/>
              </w:rPr>
              <w:t xml:space="preserve"> Negara</w:t>
            </w:r>
          </w:p>
        </w:tc>
        <w:tc>
          <w:tcPr>
            <w:tcW w:w="2835" w:type="dxa"/>
          </w:tcPr>
          <w:p w14:paraId="5FA717CE" w14:textId="7F481B19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Pengatur</w:t>
            </w:r>
            <w:proofErr w:type="spellEnd"/>
            <w:r>
              <w:rPr>
                <w:sz w:val="20"/>
                <w:lang w:val="en-US"/>
              </w:rPr>
              <w:t xml:space="preserve"> / (II/c)</w:t>
            </w:r>
          </w:p>
        </w:tc>
        <w:tc>
          <w:tcPr>
            <w:tcW w:w="2977" w:type="dxa"/>
          </w:tcPr>
          <w:p w14:paraId="28491FF7" w14:textId="52425E88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85C1050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28422E17" w14:textId="77777777" w:rsidTr="00A6582E">
        <w:trPr>
          <w:trHeight w:val="690"/>
        </w:trPr>
        <w:tc>
          <w:tcPr>
            <w:tcW w:w="528" w:type="dxa"/>
          </w:tcPr>
          <w:p w14:paraId="26DEDA9E" w14:textId="7EBE20A1" w:rsidR="00637D70" w:rsidRDefault="001E45C1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37D70">
              <w:rPr>
                <w:sz w:val="20"/>
              </w:rPr>
              <w:t xml:space="preserve">. </w:t>
            </w:r>
          </w:p>
        </w:tc>
        <w:tc>
          <w:tcPr>
            <w:tcW w:w="3583" w:type="dxa"/>
          </w:tcPr>
          <w:p w14:paraId="4E759B1E" w14:textId="7C18145B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Ilham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Wahyudi</w:t>
            </w:r>
            <w:proofErr w:type="spellEnd"/>
          </w:p>
        </w:tc>
        <w:tc>
          <w:tcPr>
            <w:tcW w:w="4557" w:type="dxa"/>
          </w:tcPr>
          <w:p w14:paraId="10CC9ED3" w14:textId="21B3E110" w:rsidR="00637D70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14F5BEBA" w14:textId="0CCDE859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32A29048" w14:textId="52576763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2185E22A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5C0B1186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18D78ECE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757C51">
        <w:rPr>
          <w:rFonts w:ascii="Cambria" w:hAnsi="Cambria" w:cs="Arial"/>
          <w:sz w:val="20"/>
          <w:szCs w:val="20"/>
          <w:lang w:val="en-ID"/>
        </w:rPr>
        <w:t>19</w:t>
      </w:r>
      <w:r w:rsidR="00C41C34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757C51">
        <w:rPr>
          <w:rFonts w:ascii="Cambria" w:hAnsi="Cambria" w:cs="Arial"/>
          <w:sz w:val="20"/>
          <w:szCs w:val="20"/>
          <w:lang w:val="en-ID"/>
        </w:rPr>
        <w:t>Februari</w:t>
      </w:r>
      <w:proofErr w:type="spellEnd"/>
      <w:r w:rsidR="00757C51">
        <w:rPr>
          <w:rFonts w:ascii="Cambria" w:hAnsi="Cambria" w:cs="Arial"/>
          <w:sz w:val="20"/>
          <w:szCs w:val="20"/>
          <w:lang w:val="en-ID"/>
        </w:rPr>
        <w:t xml:space="preserve"> 2024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85F6675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proofErr w:type="spellStart"/>
      <w:r w:rsidR="00757C51">
        <w:rPr>
          <w:rFonts w:ascii="Cambria" w:hAnsi="Cambria" w:cs="Arial"/>
          <w:b/>
          <w:sz w:val="20"/>
          <w:szCs w:val="20"/>
        </w:rPr>
        <w:t>Wakil</w:t>
      </w:r>
      <w:proofErr w:type="spellEnd"/>
      <w:r w:rsidR="00757C51">
        <w:rPr>
          <w:rFonts w:ascii="Cambria" w:hAnsi="Cambria" w:cs="Arial"/>
          <w:b/>
          <w:sz w:val="20"/>
          <w:szCs w:val="20"/>
        </w:rPr>
        <w:t xml:space="preserve"> </w:t>
      </w:r>
      <w:r w:rsidR="00740710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7EFBF086" w14:textId="3176747B" w:rsidR="007341CE" w:rsidRPr="00757C51" w:rsidRDefault="00740710" w:rsidP="00757C51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proofErr w:type="spellStart"/>
      <w:r w:rsidR="00757C51">
        <w:rPr>
          <w:rFonts w:ascii="Cambria" w:hAnsi="Cambria" w:cs="Arial"/>
          <w:b/>
          <w:sz w:val="20"/>
          <w:szCs w:val="20"/>
        </w:rPr>
        <w:t>Rosliani</w:t>
      </w:r>
      <w:proofErr w:type="spellEnd"/>
    </w:p>
    <w:sectPr w:rsidR="007341CE" w:rsidRPr="00757C51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A5054"/>
    <w:rsid w:val="000C33EF"/>
    <w:rsid w:val="0010660C"/>
    <w:rsid w:val="00133A67"/>
    <w:rsid w:val="00170B49"/>
    <w:rsid w:val="001C2F0F"/>
    <w:rsid w:val="001D20EB"/>
    <w:rsid w:val="001E45C1"/>
    <w:rsid w:val="00201078"/>
    <w:rsid w:val="00296347"/>
    <w:rsid w:val="002E2E1A"/>
    <w:rsid w:val="0033311D"/>
    <w:rsid w:val="00354CD3"/>
    <w:rsid w:val="00357E8F"/>
    <w:rsid w:val="00387902"/>
    <w:rsid w:val="003901BE"/>
    <w:rsid w:val="004279DC"/>
    <w:rsid w:val="004532E7"/>
    <w:rsid w:val="00465786"/>
    <w:rsid w:val="00485F3B"/>
    <w:rsid w:val="00491F17"/>
    <w:rsid w:val="004D25EA"/>
    <w:rsid w:val="004F4BC0"/>
    <w:rsid w:val="005A43AE"/>
    <w:rsid w:val="005E3DC4"/>
    <w:rsid w:val="005F4BAC"/>
    <w:rsid w:val="00602C69"/>
    <w:rsid w:val="00617044"/>
    <w:rsid w:val="00637D70"/>
    <w:rsid w:val="00674392"/>
    <w:rsid w:val="00681975"/>
    <w:rsid w:val="006824B3"/>
    <w:rsid w:val="006B168F"/>
    <w:rsid w:val="006C5319"/>
    <w:rsid w:val="00721125"/>
    <w:rsid w:val="007341CE"/>
    <w:rsid w:val="00740710"/>
    <w:rsid w:val="00757C51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97A94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2024-02-19T09:52:00Z</cp:lastPrinted>
  <dcterms:created xsi:type="dcterms:W3CDTF">2024-02-19T09:52:00Z</dcterms:created>
  <dcterms:modified xsi:type="dcterms:W3CDTF">2024-02-19T09:52:00Z</dcterms:modified>
</cp:coreProperties>
</file>