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pPr>
        <w:jc w:val="center"/>
        <w:rPr>
          <w:rFonts w:cstheme="minorHAnsi"/>
          <w:b/>
        </w:rPr>
      </w:pPr>
      <w:r>
        <w:rPr>
          <w:rFonts w:cstheme="minorHAnsi"/>
          <w:b/>
        </w:rPr>
        <w:t xml:space="preserve">BERITA ACARA VERIFIKASI TUNJANGAN KINERJA </w:t>
      </w:r>
    </w:p>
    <w:p>
      <w:pPr>
        <w:jc w:val="center"/>
        <w:rPr>
          <w:rFonts w:cstheme="minorHAnsi"/>
          <w:b/>
          <w:color w:val="000000"/>
        </w:rPr>
      </w:pPr>
      <w:r>
        <w:rPr>
          <w:rFonts w:cstheme="minorHAnsi"/>
          <w:b/>
        </w:rPr>
        <w:t xml:space="preserve">DAN TRANSPORTASI HAKIM BULAN </w:t>
      </w:r>
      <w:r>
        <w:rPr>
          <w:rFonts w:cstheme="minorHAnsi"/>
          <w:b/>
          <w:color w:val="000000"/>
        </w:rPr>
        <w:t>[PERIODE.BULAN]</w:t>
      </w:r>
      <w:r>
        <w:rPr>
          <w:rFonts w:eastAsia="Times New Roman" w:cstheme="minorHAnsi"/>
          <w:b/>
          <w:color w:val="000000"/>
        </w:rPr>
        <w:t xml:space="preserve">  TAHUN </w:t>
      </w:r>
      <w:r>
        <w:rPr>
          <w:rFonts w:cstheme="minorHAnsi"/>
          <w:b/>
          <w:color w:val="000000"/>
        </w:rPr>
        <w:t>[PERIODE.TAHUN]</w:t>
      </w:r>
    </w:p>
    <w:p>
      <w:pPr>
        <w:spacing w:line="12pt" w:lineRule="auto"/>
        <w:contextualSpacing/>
        <w:jc w:val="center"/>
        <w:rPr>
          <w:rFonts w:cstheme="minorHAnsi"/>
          <w:b/>
        </w:rPr>
      </w:pPr>
      <w:r>
        <w:rPr>
          <w:rFonts w:cstheme="minorHAnsi"/>
          <w:b/>
        </w:rPr>
        <w:t xml:space="preserve">NO. </w:t>
      </w:r>
      <w:r>
        <w:rPr>
          <w:rFonts w:eastAsia="Times New Roman" w:cstheme="minorHAnsi"/>
          <w:b/>
        </w:rPr>
        <w:t>/          /KU.00.1/ III/2023</w:t>
      </w:r>
    </w:p>
    <w:p>
      <w:pPr>
        <w:rPr>
          <w:rFonts w:eastAsia="Times New Roman" w:cstheme="minorHAnsi"/>
          <w:color w:val="000000" w:themeColor="text1"/>
        </w:rPr>
      </w:pPr>
    </w:p>
    <w:p>
      <w:pPr>
        <w:spacing w:after="6pt"/>
        <w:ind w:firstLine="28.35pt"/>
        <w:jc w:val="both"/>
        <w:rPr>
          <w:rFonts w:eastAsia="Times New Roman" w:cstheme="minorHAnsi"/>
          <w:color w:val="000000" w:themeColor="text1"/>
        </w:rPr>
      </w:pPr>
      <w:r>
        <w:rPr>
          <w:rFonts w:eastAsia="Times New Roman" w:cstheme="minorHAnsi"/>
          <w:color w:val="000000" w:themeColor="text1"/>
        </w:rPr>
        <w:t xml:space="preserve">Pada hari ini Jumat tanggal 03 bulan Maret tahun 2023 telah dilakukan verifikasi pengajuan pembayaran tunjangan kinerja bulan Maret tahun anggaran 2023 dan Biaya Transportasi Hakim bulan Februari tahun anggaran 2023 dengan data sebagai berikut:</w:t>
      </w:r>
    </w:p>
    <w:p>
      <w:pPr>
        <w:pStyle w:val="ListParagraph"/>
        <w:numPr>
          <w:ilvl w:val="0"/>
          <w:numId w:val="2"/>
        </w:numPr>
        <w:ind w:hanging="14.45pt"/>
        <w:contextualSpacing w:val="0"/>
        <w:jc w:val="both"/>
        <w:rPr>
          <w:rFonts w:eastAsia="Times New Roman" w:cstheme="minorHAnsi"/>
          <w:color w:val="000000" w:themeColor="text1"/>
        </w:rPr>
      </w:pPr>
      <w:r>
        <w:rPr>
          <w:rFonts w:eastAsia="Times New Roman" w:cstheme="minorHAnsi"/>
          <w:color w:val="000000" w:themeColor="text1"/>
        </w:rPr>
        <w:t xml:space="preserve">Tunjangan Kinerja </w:t>
      </w:r>
    </w:p>
    <w:tbl>
      <w:tblPr>
        <w:tblStyle w:val="TableGrid"/>
        <w:tblW w:w="465.80pt" w:type="dxa"/>
        <w:tblInd w:w="19.60pt" w:type="dxa"/>
        <w:tblLayout w:type="fixed"/>
        <w:tblLook w:firstRow="1" w:lastRow="0" w:firstColumn="1" w:lastColumn="0" w:noHBand="0" w:noVBand="1"/>
      </w:tblPr>
      <w:tblGrid>
        <w:gridCol w:w="737"/>
        <w:gridCol w:w="2434"/>
        <w:gridCol w:w="2370"/>
        <w:gridCol w:w="1647"/>
        <w:gridCol w:w="2128"/>
      </w:tblGrid>
      <w:tr>
        <w:tc>
          <w:tcPr>
            <w:tcW w:w="36.85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No.</w:t>
            </w:r>
          </w:p>
        </w:tc>
        <w:tc>
          <w:tcPr>
            <w:tcW w:w="121.7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Nama Satker</w:t>
            </w:r>
          </w:p>
        </w:tc>
        <w:tc>
          <w:tcPr>
            <w:tcW w:w="118.5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Bruto</w:t>
            </w:r>
          </w:p>
        </w:tc>
        <w:tc>
          <w:tcPr>
            <w:tcW w:w="82.35pt" w:type="dxa"/>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PPh</w:t>
            </w:r>
          </w:p>
        </w:tc>
        <w:tc>
          <w:tcPr>
            <w:tcW w:w="106.4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Netto</w:t>
            </w: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PTA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Pariaman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Solok</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Sawahlunto</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Pulau Punjung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Batusangkar</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 Panjang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Sijunjung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Koto Baru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Muara Labuh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Painan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Bukittinggi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Sikaping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Talu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Maninjau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Payakumbuh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Tanjung Pati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Basung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bl>
    <w:p>
      <w:pPr>
        <w:pStyle w:val="ListParagraph"/>
        <w:numPr>
          <w:ilvl w:val="0"/>
          <w:numId w:val="2"/>
        </w:numPr>
        <w:spacing w:before="6pt"/>
        <w:ind w:hanging="14.45pt"/>
        <w:jc w:val="both"/>
        <w:rPr>
          <w:rFonts w:eastAsia="Times New Roman" w:cstheme="minorHAnsi"/>
          <w:color w:val="000000" w:themeColor="text1"/>
        </w:rPr>
      </w:pPr>
      <w:r>
        <w:rPr>
          <w:rFonts w:eastAsia="Times New Roman" w:cstheme="minorHAnsi"/>
          <w:color w:val="000000" w:themeColor="text1"/>
        </w:rPr>
        <w:t>Biaya Transportasi Hakim</w:t>
      </w:r>
    </w:p>
    <w:tbl>
      <w:tblPr>
        <w:tblStyle w:val="TableGrid"/>
        <w:tblW w:w="461.85pt" w:type="dxa"/>
        <w:tblInd w:w="19.60pt" w:type="dxa"/>
        <w:tblLook w:firstRow="1" w:lastRow="0" w:firstColumn="1" w:lastColumn="0" w:noHBand="0" w:noVBand="1"/>
      </w:tblPr>
      <w:tblGrid>
        <w:gridCol w:w="729"/>
        <w:gridCol w:w="2534"/>
        <w:gridCol w:w="2302"/>
        <w:gridCol w:w="1602"/>
        <w:gridCol w:w="2070"/>
      </w:tblGrid>
      <w:tr>
        <w:tc>
          <w:tcPr>
            <w:tcW w:w="36.85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No.</w:t>
            </w:r>
          </w:p>
        </w:tc>
        <w:tc>
          <w:tcPr>
            <w:tcW w:w="117.75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Nama Satker</w:t>
            </w:r>
          </w:p>
        </w:tc>
        <w:tc>
          <w:tcPr>
            <w:tcW w:w="118.5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Bruto</w:t>
            </w:r>
          </w:p>
        </w:tc>
        <w:tc>
          <w:tcPr>
            <w:tcW w:w="82.35pt" w:type="dxa"/>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PPh</w:t>
            </w:r>
          </w:p>
        </w:tc>
        <w:tc>
          <w:tcPr>
            <w:tcW w:w="106.4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Netto</w:t>
            </w: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PTA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Pariaman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Solok</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Sawahlunto</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Pulau Punjung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Batusangkar</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 Panjang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Sijunjung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Koto Baru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Muara Labuh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Painan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Bukittinggi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Sikaping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Talu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Maninjau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Payakumbuh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Tanjung Pati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Basung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284"/>
        </w:trPr>
        <w:tc>
          <w:tcPr>
            <w:tcW w:w="36.85pt" w:type="dxa"/>
            <w:vAlign w:val="center"/>
          </w:tcPr>
          <w:p>
            <w:pPr>
              <w:pStyle w:val="ListParagraph"/>
              <w:ind w:start="0pt"/>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b/>
                <w:sz w:val="20"/>
                <w:szCs w:val="20"/>
              </w:rPr>
            </w:pPr>
            <w:r>
              <w:rPr>
                <w:rFonts w:eastAsia="Times New Roman" w:cstheme="minorHAnsi"/>
                <w:b/>
                <w:sz w:val="20"/>
                <w:szCs w:val="20"/>
              </w:rPr>
              <w:t xml:space="preserve">                   Jumlah</w:t>
            </w:r>
          </w:p>
        </w:tc>
        <w:tc>
          <w:tcPr>
            <w:tcW w:w="118.50pt" w:type="dxa"/>
            <w:vAlign w:val="center"/>
          </w:tcPr>
          <w:p>
            <w:pPr>
              <w:pStyle w:val="ListParagraph"/>
              <w:ind w:start="0pt" w:end="52.90pt"/>
              <w:contextualSpacing w:val="0"/>
              <w:jc w:val="end"/>
              <w:rPr>
                <w:rFonts w:eastAsia="Times New Roman" w:cstheme="minorHAnsi"/>
                <w:b/>
                <w:sz w:val="20"/>
                <w:szCs w:val="20"/>
              </w:rPr>
            </w:pPr>
          </w:p>
        </w:tc>
        <w:tc>
          <w:tcPr>
            <w:tcW w:w="82.35pt" w:type="dxa"/>
          </w:tcPr>
          <w:p>
            <w:pPr>
              <w:pStyle w:val="ListParagraph"/>
              <w:ind w:start="0pt" w:end="43.95pt"/>
              <w:contextualSpacing w:val="0"/>
              <w:jc w:val="end"/>
              <w:rPr>
                <w:rFonts w:eastAsia="Times New Roman" w:cstheme="minorHAnsi"/>
                <w:b/>
                <w:sz w:val="20"/>
                <w:szCs w:val="20"/>
              </w:rPr>
            </w:pPr>
          </w:p>
        </w:tc>
        <w:tc>
          <w:tcPr>
            <w:tcW w:w="106.40pt" w:type="dxa"/>
            <w:vAlign w:val="center"/>
          </w:tcPr>
          <w:p>
            <w:pPr>
              <w:pStyle w:val="ListParagraph"/>
              <w:ind w:start="0pt" w:end="43.95pt"/>
              <w:contextualSpacing w:val="0"/>
              <w:jc w:val="end"/>
              <w:rPr>
                <w:rFonts w:eastAsia="Times New Roman" w:cstheme="minorHAnsi"/>
                <w:b/>
                <w:sz w:val="20"/>
                <w:szCs w:val="20"/>
              </w:rPr>
            </w:pPr>
          </w:p>
        </w:tc>
      </w:tr>
    </w:tbl>
    <w:p>
      <w:pPr>
        <w:spacing w:after="12pt"/>
        <w:jc w:val="both"/>
        <w:rPr>
          <w:rFonts w:eastAsia="Times New Roman" w:cstheme="minorHAnsi"/>
          <w:color w:val="000000" w:themeColor="text1"/>
        </w:rPr>
      </w:pPr>
    </w:p>
    <w:p>
      <w:pPr>
        <w:spacing w:after="12pt"/>
        <w:jc w:val="both"/>
        <w:rPr>
          <w:rFonts w:eastAsia="Times New Roman" w:cstheme="minorHAnsi"/>
          <w:color w:val="000000" w:themeColor="text1"/>
        </w:rPr>
      </w:pPr>
      <w:r>
        <w:rPr>
          <w:rFonts w:eastAsia="Times New Roman" w:cstheme="minorHAnsi"/>
          <w:color w:val="000000" w:themeColor="text1"/>
        </w:rPr>
        <w:tab/>
        <w:t xml:space="preserve">Demikian berita acara ini dibuat untuk keperluan melengkapi berkas pengajuan tunjangan kinerja dan biaya transportasi hakim bulan Maret tahun anggaran 2023.</w:t>
      </w:r>
    </w:p>
    <w:tbl>
      <w:tblPr>
        <w:tblStyle w:val="TableGrid"/>
        <w:tblW w:w="496.1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3261"/>
        <w:gridCol w:w="3543"/>
        <w:gridCol w:w="3119"/>
      </w:tblGrid>
      <w:tr>
        <w:tc>
          <w:tcPr>
            <w:tcW w:w="163.05pt" w:type="dxa"/>
          </w:tcPr>
          <w:p>
            <w:pPr>
              <w:spacing w:line="13.80pt" w:lineRule="auto"/>
              <w:contextualSpacing/>
              <w:jc w:val="both"/>
              <w:rPr>
                <w:rFonts w:cstheme="minorHAnsi"/>
                <w:sz w:val="24"/>
                <w:szCs w:val="24"/>
              </w:rPr>
            </w:pPr>
            <w:r>
              <w:rPr>
                <w:rFonts w:cstheme="minorHAnsi"/>
                <w:sz w:val="24"/>
                <w:szCs w:val="24"/>
              </w:rPr>
              <w:t>Mengetahui,</w:t>
            </w:r>
          </w:p>
        </w:tc>
        <w:tc>
          <w:tcPr>
            <w:tcW w:w="177.15pt" w:type="dxa"/>
          </w:tcPr>
          <w:p>
            <w:pPr>
              <w:contextualSpacing/>
              <w:jc w:val="both"/>
              <w:rPr>
                <w:rFonts w:cstheme="minorHAnsi"/>
                <w:sz w:val="24"/>
                <w:szCs w:val="24"/>
              </w:rPr>
            </w:pPr>
            <w:r>
              <w:rPr>
                <w:rFonts w:cstheme="minorHAnsi"/>
                <w:sz w:val="24"/>
                <w:szCs w:val="24"/>
              </w:rPr>
              <w:t>Diperiksa oleh,</w:t>
            </w:r>
          </w:p>
        </w:tc>
        <w:tc>
          <w:tcPr>
            <w:tcW w:w="155.95pt" w:type="dxa"/>
          </w:tcPr>
          <w:p>
            <w:pPr>
              <w:spacing w:line="13.80pt" w:lineRule="auto"/>
              <w:contextualSpacing/>
              <w:jc w:val="both"/>
              <w:rPr>
                <w:rFonts w:cstheme="minorHAnsi"/>
                <w:sz w:val="24"/>
                <w:szCs w:val="24"/>
              </w:rPr>
            </w:pPr>
            <w:r>
              <w:rPr>
                <w:rFonts w:cstheme="minorHAnsi"/>
                <w:sz w:val="24"/>
                <w:szCs w:val="24"/>
              </w:rPr>
              <w:t>Disusun oleh,</w:t>
            </w:r>
          </w:p>
        </w:tc>
      </w:tr>
      <w:tr>
        <w:tc>
          <w:tcPr>
            <w:tcW w:w="163.05pt" w:type="dxa"/>
          </w:tcPr>
          <w:p>
            <w:pPr>
              <w:spacing w:line="13.80pt" w:lineRule="auto"/>
              <w:contextualSpacing/>
              <w:jc w:val="both"/>
              <w:rPr>
                <w:rFonts w:cstheme="minorHAnsi"/>
                <w:sz w:val="24"/>
                <w:szCs w:val="24"/>
              </w:rPr>
            </w:pPr>
            <w:r>
              <w:rPr>
                <w:rFonts w:cstheme="minorHAnsi"/>
                <w:sz w:val="24"/>
                <w:szCs w:val="24"/>
              </w:rPr>
              <w:t>Sekretaris</w:t>
            </w:r>
            <w:r>
              <w:rPr>
                <w:rFonts w:cstheme="minorHAnsi"/>
                <w:sz w:val="24"/>
                <w:szCs w:val="24"/>
              </w:rPr>
              <w:tab/>
            </w:r>
          </w:p>
        </w:tc>
        <w:tc>
          <w:tcPr>
            <w:tcW w:w="177.15pt" w:type="dxa"/>
          </w:tcPr>
          <w:p>
            <w:pPr>
              <w:contextualSpacing/>
              <w:jc w:val="both"/>
              <w:rPr>
                <w:rFonts w:cstheme="minorHAnsi"/>
                <w:sz w:val="24"/>
                <w:szCs w:val="24"/>
              </w:rPr>
            </w:pPr>
            <w:r>
              <w:rPr>
                <w:rFonts w:cstheme="minorHAnsi"/>
                <w:sz w:val="24"/>
                <w:szCs w:val="24"/>
              </w:rPr>
              <w:t>Kepala Bagian  ……….</w:t>
            </w:r>
          </w:p>
        </w:tc>
        <w:tc>
          <w:tcPr>
            <w:tcW w:w="155.95pt" w:type="dxa"/>
          </w:tcPr>
          <w:p>
            <w:pPr>
              <w:spacing w:line="13.80pt" w:lineRule="auto"/>
              <w:contextualSpacing/>
              <w:jc w:val="both"/>
              <w:rPr>
                <w:rFonts w:cstheme="minorHAnsi"/>
                <w:sz w:val="24"/>
                <w:szCs w:val="24"/>
              </w:rPr>
            </w:pPr>
            <w:r>
              <w:rPr>
                <w:rFonts w:cstheme="minorHAnsi"/>
                <w:sz w:val="24"/>
                <w:szCs w:val="24"/>
              </w:rPr>
              <w:t>Operator tingkat banding,</w:t>
            </w:r>
          </w:p>
        </w:tc>
      </w:tr>
      <w:tr>
        <w:trPr>
          <w:trHeight w:val="1469"/>
        </w:trPr>
        <w:tc>
          <w:tcPr>
            <w:tcW w:w="163.05pt" w:type="dxa"/>
          </w:tcPr>
          <w:p>
            <w:pPr>
              <w:spacing w:line="13.80pt" w:lineRule="auto"/>
              <w:contextualSpacing/>
              <w:jc w:val="both"/>
              <w:rPr>
                <w:rFonts w:cstheme="minorHAnsi"/>
                <w:sz w:val="24"/>
                <w:szCs w:val="24"/>
              </w:rPr>
            </w:pPr>
          </w:p>
        </w:tc>
        <w:tc>
          <w:tcPr>
            <w:tcW w:w="177.15pt" w:type="dxa"/>
          </w:tcPr>
          <w:p>
            <w:pPr>
              <w:contextualSpacing/>
              <w:jc w:val="both"/>
              <w:rPr>
                <w:rFonts w:cstheme="minorHAnsi"/>
                <w:sz w:val="24"/>
                <w:szCs w:val="24"/>
              </w:rPr>
            </w:pPr>
          </w:p>
        </w:tc>
        <w:tc>
          <w:tcPr>
            <w:tcW w:w="155.95pt" w:type="dxa"/>
          </w:tcPr>
          <w:p>
            <w:pPr>
              <w:spacing w:line="13.80pt" w:lineRule="auto"/>
              <w:contextualSpacing/>
              <w:jc w:val="both"/>
              <w:rPr>
                <w:rFonts w:cstheme="minorHAnsi"/>
                <w:sz w:val="24"/>
                <w:szCs w:val="24"/>
              </w:rPr>
            </w:pPr>
          </w:p>
        </w:tc>
      </w:tr>
      <w:tr>
        <w:tc>
          <w:tcPr>
            <w:tcW w:w="163.05pt" w:type="dxa"/>
          </w:tcPr>
          <w:p>
            <w:pPr>
              <w:spacing w:line="13.80pt" w:lineRule="auto"/>
              <w:contextualSpacing/>
              <w:jc w:val="both"/>
              <w:rPr>
                <w:rFonts w:cstheme="minorHAnsi"/>
                <w:sz w:val="24"/>
                <w:szCs w:val="24"/>
              </w:rPr>
            </w:pPr>
            <w:r>
              <w:rPr>
                <w:rFonts w:cstheme="minorHAnsi"/>
                <w:sz w:val="24"/>
                <w:szCs w:val="24"/>
              </w:rPr>
              <w:t>nama</w:t>
            </w:r>
          </w:p>
        </w:tc>
        <w:tc>
          <w:tcPr>
            <w:tcW w:w="177.15pt" w:type="dxa"/>
          </w:tcPr>
          <w:p>
            <w:pPr>
              <w:spacing w:line="13.80pt" w:lineRule="auto"/>
              <w:contextualSpacing/>
              <w:jc w:val="both"/>
              <w:rPr>
                <w:rFonts w:cstheme="minorHAnsi"/>
                <w:sz w:val="24"/>
                <w:szCs w:val="24"/>
              </w:rPr>
            </w:pPr>
            <w:r>
              <w:rPr>
                <w:rFonts w:cstheme="minorHAnsi"/>
                <w:sz w:val="24"/>
                <w:szCs w:val="24"/>
              </w:rPr>
              <w:t>nama</w:t>
            </w:r>
          </w:p>
        </w:tc>
        <w:tc>
          <w:tcPr>
            <w:tcW w:w="155.95pt" w:type="dxa"/>
          </w:tcPr>
          <w:p>
            <w:pPr>
              <w:spacing w:line="13.80pt" w:lineRule="auto"/>
              <w:contextualSpacing/>
              <w:jc w:val="both"/>
              <w:rPr>
                <w:rFonts w:cstheme="minorHAnsi"/>
                <w:sz w:val="24"/>
                <w:szCs w:val="24"/>
              </w:rPr>
            </w:pPr>
            <w:r>
              <w:rPr>
                <w:rFonts w:cstheme="minorHAnsi"/>
                <w:sz w:val="24"/>
                <w:szCs w:val="24"/>
              </w:rPr>
              <w:t>nama</w:t>
            </w:r>
          </w:p>
        </w:tc>
      </w:tr>
      <w:tr>
        <w:tc>
          <w:tcPr>
            <w:tcW w:w="163.05pt" w:type="dxa"/>
          </w:tcPr>
          <w:p>
            <w:pPr>
              <w:spacing w:line="13.80pt" w:lineRule="auto"/>
              <w:contextualSpacing/>
              <w:jc w:val="both"/>
              <w:rPr>
                <w:rFonts w:cstheme="minorHAnsi"/>
                <w:sz w:val="24"/>
                <w:szCs w:val="24"/>
              </w:rPr>
            </w:pPr>
            <w:r>
              <w:rPr>
                <w:rFonts w:cstheme="minorHAnsi"/>
                <w:sz w:val="24"/>
                <w:szCs w:val="24"/>
              </w:rPr>
              <w:t>NIP.</w:t>
            </w:r>
            <w:r>
              <w:rPr>
                <w:rFonts w:cstheme="minorHAnsi"/>
                <w:sz w:val="24"/>
                <w:szCs w:val="24"/>
              </w:rPr>
              <w:tab/>
            </w:r>
          </w:p>
        </w:tc>
        <w:tc>
          <w:tcPr>
            <w:tcW w:w="177.15pt" w:type="dxa"/>
          </w:tcPr>
          <w:p>
            <w:pPr>
              <w:spacing w:line="13.80pt" w:lineRule="auto"/>
              <w:contextualSpacing/>
              <w:jc w:val="both"/>
              <w:rPr>
                <w:rFonts w:cstheme="minorHAnsi"/>
                <w:sz w:val="24"/>
                <w:szCs w:val="24"/>
              </w:rPr>
            </w:pPr>
            <w:r>
              <w:rPr>
                <w:rFonts w:cstheme="minorHAnsi"/>
                <w:sz w:val="24"/>
                <w:szCs w:val="24"/>
              </w:rPr>
              <w:t>NIP.</w:t>
            </w:r>
            <w:r>
              <w:rPr>
                <w:rFonts w:cstheme="minorHAnsi"/>
                <w:sz w:val="24"/>
                <w:szCs w:val="24"/>
              </w:rPr>
              <w:tab/>
            </w:r>
          </w:p>
        </w:tc>
        <w:tc>
          <w:tcPr>
            <w:tcW w:w="155.95pt" w:type="dxa"/>
          </w:tcPr>
          <w:p>
            <w:pPr>
              <w:spacing w:line="13.80pt" w:lineRule="auto"/>
              <w:contextualSpacing/>
              <w:jc w:val="both"/>
              <w:rPr>
                <w:rFonts w:cstheme="minorHAnsi"/>
                <w:sz w:val="24"/>
                <w:szCs w:val="24"/>
              </w:rPr>
            </w:pPr>
            <w:r>
              <w:rPr>
                <w:rFonts w:cstheme="minorHAnsi"/>
                <w:sz w:val="24"/>
                <w:szCs w:val="24"/>
              </w:rPr>
              <w:t>NIP.</w:t>
            </w:r>
            <w:r>
              <w:rPr>
                <w:rFonts w:cstheme="minorHAnsi"/>
                <w:sz w:val="24"/>
                <w:szCs w:val="24"/>
              </w:rPr>
              <w:tab/>
            </w:r>
          </w:p>
        </w:tc>
      </w:tr>
    </w:tbl>
    <w:p>
      <w:pPr>
        <w:spacing w:after="12pt"/>
        <w:jc w:val="both"/>
        <w:rPr>
          <w:rFonts w:ascii="Calibri" w:eastAsia="Times New Roman" w:hAnsi="Calibri" w:cs="Calibri"/>
          <w:color w:val="000000"/>
          <w:sz w:val="24"/>
          <w:szCs w:val="24"/>
        </w:rPr>
      </w:pPr>
    </w:p>
    <w:sectPr>
      <w:headerReference w:type="default" r:id="rId7"/>
      <w:footerReference w:type="default" r:id="rId8"/>
      <w:pgSz w:w="612pt" w:h="936pt" w:code="140"/>
      <w:pgMar w:top="42.95pt" w:right="52.05pt" w:bottom="49.65pt" w:left="63.80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pPr>
        <w:spacing w:after="0pt" w:line="12pt" w:lineRule="auto"/>
      </w:pPr>
      <w:r>
        <w:separator/>
      </w:r>
    </w:p>
  </w:endnote>
  <w:endnote w:type="continuationSeparator" w:id="0">
    <w:p>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Narrow">
    <w:panose1 w:val="020B0606020202030204"/>
    <w:charset w:characterSet="iso-8859-1"/>
    <w:family w:val="swiss"/>
    <w:pitch w:val="variable"/>
    <w:sig w:usb0="00000287" w:usb1="00000800" w:usb2="00000000" w:usb3="00000000" w:csb0="0000009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pPr>
      <w:pStyle w:val="Footer"/>
      <w:pBdr>
        <w:top w:val="single" w:sz="4" w:space="1" w:color="A5A5A5" w:themeColor="background1" w:themeShade="A5"/>
      </w:pBdr>
      <w:jc w:val="end"/>
      <w:rPr>
        <w:b/>
        <w:i/>
        <w:color w:val="7F7F7F" w:themeColor="background1" w:themeShade="7F"/>
        <w:sz w:val="16"/>
        <w:szCs w:val="16"/>
      </w:rPr>
    </w:pPr>
    <w:r>
      <w:rPr>
        <w:b/>
        <w:i/>
        <w:color w:val="7F7F7F" w:themeColor="background1" w:themeShade="7F"/>
        <w:sz w:val="16"/>
        <w:szCs w:val="16"/>
      </w:rPr>
      <w:t>komdanas bar 2023 3 0800401900 NO. F853-0CEE-749F-A552</w:t>
    </w:r>
  </w:p>
  <w:p>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pPr>
        <w:spacing w:after="0pt" w:line="12pt" w:lineRule="auto"/>
      </w:pPr>
      <w:r>
        <w:separator/>
      </w:r>
    </w:p>
  </w:footnote>
  <w:footnote w:type="continuationSeparator" w:id="0">
    <w:p>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pPr>
      <w:pStyle w:val="Title"/>
      <w:ind w:start="56.70pt"/>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
                    <a:headEnd/>
                    <a:tailEnd/>
                  </a:ln>
                </pic:spPr>
              </pic:pic>
            </a:graphicData>
          </a:graphic>
        </wp:anchor>
      </w:drawing>
    </w:r>
    <w:r>
      <w:rPr>
        <w:rFonts w:ascii="Times New Roman" w:hAnsi="Times New Roman"/>
        <w:b/>
        <w:color w:val="auto"/>
        <w:sz w:val="38"/>
      </w:rPr>
      <w:t>PENGADILAN TINGGI AGAMA PADANG</w:t>
    </w:r>
  </w:p>
  <w:p>
    <w:pPr>
      <w:spacing w:after="0pt" w:line="12pt" w:lineRule="auto"/>
      <w:ind w:start="56.70pt"/>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pPr>
      <w:spacing w:after="0pt" w:line="12pt" w:lineRule="auto"/>
      <w:ind w:start="56.70pt"/>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pPr>
      <w:spacing w:after="0pt" w:line="12pt" w:lineRule="auto"/>
      <w:ind w:start="56.70pt"/>
      <w:jc w:val="center"/>
      <w:rPr>
        <w:b/>
        <w:bCs/>
        <w:iCs/>
        <w:sz w:val="20"/>
        <w:szCs w:val="20"/>
      </w:rPr>
    </w:pPr>
    <w:r>
      <w:rPr>
        <w:rFonts w:ascii="Times New Roman" w:hAnsi="Times New Roman" w:cs="Times New Roman"/>
        <w:b/>
        <w:bCs/>
        <w:iCs/>
        <w:sz w:val="20"/>
        <w:szCs w:val="20"/>
      </w:rPr>
      <w:t> www.pta-padang.go.id e-mail : admin@pta-padang.go.id</w:t>
    </w:r>
  </w:p>
  <w:p>
    <w:pPr>
      <w:spacing w:after="0pt" w:line="12pt" w:lineRule="auto"/>
      <w:contextualSpacing/>
      <w:rPr>
        <w:bCs/>
        <w:iCs/>
        <w:color w:val="FFFFFF" w:themeColor="background1"/>
        <w:sz w:val="16"/>
        <w:szCs w:val="16"/>
      </w:rPr>
    </w:pPr>
    <w:r>
      <w:rPr>
        <w:color w:val="FFFFFF" w:themeColor="background1"/>
        <w:sz w:val="16"/>
        <w:szCs w:val="16"/>
      </w:rPr>
      <w:t/>
    </w:r>
  </w:p>
  <w:p>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B5D1020"/>
    <w:multiLevelType w:val="hybridMultilevel"/>
    <w:tmpl w:val="F0743596"/>
    <w:lvl w:ilvl="0" w:tplc="0421000F">
      <w:start w:val="1"/>
      <w:numFmt w:val="decimal"/>
      <w:lvlText w:val="%1."/>
      <w:lvlJc w:val="start"/>
      <w:pPr>
        <w:ind w:start="36pt" w:hanging="18pt"/>
      </w:pPr>
    </w:lvl>
    <w:lvl w:ilvl="1" w:tplc="04210019" w:tentative="1">
      <w:start w:val="1"/>
      <w:numFmt w:val="lowerLetter"/>
      <w:lvlText w:val="%2."/>
      <w:lvlJc w:val="start"/>
      <w:pPr>
        <w:ind w:start="72pt" w:hanging="18pt"/>
      </w:pPr>
    </w:lvl>
    <w:lvl w:ilvl="2" w:tplc="0421001B" w:tentative="1">
      <w:start w:val="1"/>
      <w:numFmt w:val="lowerRoman"/>
      <w:lvlText w:val="%3."/>
      <w:lvlJc w:val="end"/>
      <w:pPr>
        <w:ind w:start="108pt" w:hanging="9pt"/>
      </w:pPr>
    </w:lvl>
    <w:lvl w:ilvl="3" w:tplc="0421000F" w:tentative="1">
      <w:start w:val="1"/>
      <w:numFmt w:val="decimal"/>
      <w:lvlText w:val="%4."/>
      <w:lvlJc w:val="start"/>
      <w:pPr>
        <w:ind w:start="144pt" w:hanging="18pt"/>
      </w:pPr>
    </w:lvl>
    <w:lvl w:ilvl="4" w:tplc="04210019" w:tentative="1">
      <w:start w:val="1"/>
      <w:numFmt w:val="lowerLetter"/>
      <w:lvlText w:val="%5."/>
      <w:lvlJc w:val="start"/>
      <w:pPr>
        <w:ind w:start="180pt" w:hanging="18pt"/>
      </w:pPr>
    </w:lvl>
    <w:lvl w:ilvl="5" w:tplc="0421001B" w:tentative="1">
      <w:start w:val="1"/>
      <w:numFmt w:val="lowerRoman"/>
      <w:lvlText w:val="%6."/>
      <w:lvlJc w:val="end"/>
      <w:pPr>
        <w:ind w:start="216pt" w:hanging="9pt"/>
      </w:pPr>
    </w:lvl>
    <w:lvl w:ilvl="6" w:tplc="0421000F" w:tentative="1">
      <w:start w:val="1"/>
      <w:numFmt w:val="decimal"/>
      <w:lvlText w:val="%7."/>
      <w:lvlJc w:val="start"/>
      <w:pPr>
        <w:ind w:start="252pt" w:hanging="18pt"/>
      </w:pPr>
    </w:lvl>
    <w:lvl w:ilvl="7" w:tplc="04210019" w:tentative="1">
      <w:start w:val="1"/>
      <w:numFmt w:val="lowerLetter"/>
      <w:lvlText w:val="%8."/>
      <w:lvlJc w:val="start"/>
      <w:pPr>
        <w:ind w:start="288pt" w:hanging="18pt"/>
      </w:pPr>
    </w:lvl>
    <w:lvl w:ilvl="8" w:tplc="0421001B" w:tentative="1">
      <w:start w:val="1"/>
      <w:numFmt w:val="lowerRoman"/>
      <w:lvlText w:val="%9."/>
      <w:lvlJc w:val="end"/>
      <w:pPr>
        <w:ind w:start="324pt" w:hanging="9pt"/>
      </w:pPr>
    </w:lvl>
  </w:abstractNum>
  <w:abstractNum w:abstractNumId="1" w15:restartNumberingAfterBreak="0">
    <w:nsid w:val="21F97CA2"/>
    <w:multiLevelType w:val="hybridMultilevel"/>
    <w:tmpl w:val="647695DA"/>
    <w:lvl w:ilvl="0" w:tplc="0409000F">
      <w:start w:val="1"/>
      <w:numFmt w:val="decimal"/>
      <w:lvlText w:val="%1."/>
      <w:lvlJc w:val="start"/>
      <w:pPr>
        <w:tabs>
          <w:tab w:val="num" w:pos="36pt"/>
        </w:tabs>
        <w:ind w:start="36pt" w:hanging="18pt"/>
      </w:p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 w15:restartNumberingAfterBreak="0">
    <w:nsid w:val="2D246C35"/>
    <w:multiLevelType w:val="hybridMultilevel"/>
    <w:tmpl w:val="9F8C32EA"/>
    <w:lvl w:ilvl="0" w:tplc="FAE8353C">
      <w:start w:val="1"/>
      <w:numFmt w:val="upperLetter"/>
      <w:lvlText w:val="%1."/>
      <w:lvlJc w:val="start"/>
      <w:pPr>
        <w:ind w:start="32.45pt" w:hanging="18pt"/>
      </w:pPr>
      <w:rPr>
        <w:rFonts w:hint="default"/>
      </w:rPr>
    </w:lvl>
    <w:lvl w:ilvl="1" w:tplc="38090019" w:tentative="1">
      <w:start w:val="1"/>
      <w:numFmt w:val="lowerLetter"/>
      <w:lvlText w:val="%2."/>
      <w:lvlJc w:val="start"/>
      <w:pPr>
        <w:ind w:start="68.45pt" w:hanging="18pt"/>
      </w:pPr>
    </w:lvl>
    <w:lvl w:ilvl="2" w:tplc="3809001B" w:tentative="1">
      <w:start w:val="1"/>
      <w:numFmt w:val="lowerRoman"/>
      <w:lvlText w:val="%3."/>
      <w:lvlJc w:val="end"/>
      <w:pPr>
        <w:ind w:start="104.45pt" w:hanging="9pt"/>
      </w:pPr>
    </w:lvl>
    <w:lvl w:ilvl="3" w:tplc="3809000F" w:tentative="1">
      <w:start w:val="1"/>
      <w:numFmt w:val="decimal"/>
      <w:lvlText w:val="%4."/>
      <w:lvlJc w:val="start"/>
      <w:pPr>
        <w:ind w:start="140.45pt" w:hanging="18pt"/>
      </w:pPr>
    </w:lvl>
    <w:lvl w:ilvl="4" w:tplc="38090019" w:tentative="1">
      <w:start w:val="1"/>
      <w:numFmt w:val="lowerLetter"/>
      <w:lvlText w:val="%5."/>
      <w:lvlJc w:val="start"/>
      <w:pPr>
        <w:ind w:start="176.45pt" w:hanging="18pt"/>
      </w:pPr>
    </w:lvl>
    <w:lvl w:ilvl="5" w:tplc="3809001B" w:tentative="1">
      <w:start w:val="1"/>
      <w:numFmt w:val="lowerRoman"/>
      <w:lvlText w:val="%6."/>
      <w:lvlJc w:val="end"/>
      <w:pPr>
        <w:ind w:start="212.45pt" w:hanging="9pt"/>
      </w:pPr>
    </w:lvl>
    <w:lvl w:ilvl="6" w:tplc="3809000F" w:tentative="1">
      <w:start w:val="1"/>
      <w:numFmt w:val="decimal"/>
      <w:lvlText w:val="%7."/>
      <w:lvlJc w:val="start"/>
      <w:pPr>
        <w:ind w:start="248.45pt" w:hanging="18pt"/>
      </w:pPr>
    </w:lvl>
    <w:lvl w:ilvl="7" w:tplc="38090019" w:tentative="1">
      <w:start w:val="1"/>
      <w:numFmt w:val="lowerLetter"/>
      <w:lvlText w:val="%8."/>
      <w:lvlJc w:val="start"/>
      <w:pPr>
        <w:ind w:start="284.45pt" w:hanging="18pt"/>
      </w:pPr>
    </w:lvl>
    <w:lvl w:ilvl="8" w:tplc="3809001B" w:tentative="1">
      <w:start w:val="1"/>
      <w:numFmt w:val="lowerRoman"/>
      <w:lvlText w:val="%9."/>
      <w:lvlJc w:val="end"/>
      <w:pPr>
        <w:ind w:start="320.45pt" w:hanging="9pt"/>
      </w:pPr>
    </w:lvl>
  </w:abstractNum>
  <w:abstractNum w:abstractNumId="3" w15:restartNumberingAfterBreak="0">
    <w:nsid w:val="626742B0"/>
    <w:multiLevelType w:val="hybridMultilevel"/>
    <w:tmpl w:val="F0743596"/>
    <w:lvl w:ilvl="0" w:tplc="FFFFFFFF">
      <w:start w:val="1"/>
      <w:numFmt w:val="decimal"/>
      <w:lvlText w:val="%1."/>
      <w:lvlJc w:val="start"/>
      <w:pPr>
        <w:ind w:start="36pt" w:hanging="18pt"/>
      </w:p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num w:numId="1" w16cid:durableId="497769488">
    <w:abstractNumId w:val="1"/>
  </w:num>
  <w:num w:numId="2" w16cid:durableId="1558275672">
    <w:abstractNumId w:val="2"/>
  </w:num>
  <w:num w:numId="3" w16cid:durableId="746920000">
    <w:abstractNumId w:val="0"/>
  </w:num>
  <w:num w:numId="4" w16cid:durableId="461971454">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pt"/>
  <w:drawingGridHorizontalSpacing w:val="5.50pt"/>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docId w15:val="{D8382F7C-F061-4A9D-A69C-1EE18AECCAE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0pt"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225.65pt"/>
        <w:tab w:val="end" w:pos="451.30pt"/>
      </w:tabs>
      <w:spacing w:after="0pt" w:line="12pt"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225.65pt"/>
        <w:tab w:val="end" w:pos="451.30pt"/>
      </w:tabs>
      <w:spacing w:after="0pt" w:line="12pt"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pt" w:line="12pt"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pt" w:line="12pt"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pPr>
      <w:spacing w:after="0pt" w:line="12pt" w:lineRule="auto"/>
    </w:pPr>
    <w:tblPr>
      <w:tblBorders>
        <w:top w:val="single" w:sz="4" w:space="0" w:color="000000" w:themeColor="text1"/>
        <w:start w:val="single" w:sz="4" w:space="0" w:color="000000" w:themeColor="text1"/>
        <w:bottom w:val="single" w:sz="4" w:space="0" w:color="000000" w:themeColor="text1"/>
        <w:end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spacing w:after="0pt" w:line="12pt" w:lineRule="auto"/>
      <w:ind w:start="36pt"/>
      <w:contextualSpacing/>
    </w:pPr>
    <w:rPr>
      <w:rFonts w:eastAsiaTheme="minorHAnsi"/>
      <w:lang w:val="en-US"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jpeg"/><Relationship Id="opentbs1" Type="http://schemas.openxmlformats.org/officeDocument/2006/relationships/image" Target="media/logo.jp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28</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alfauz</cp:lastModifiedBy>
  <cp:revision>13</cp:revision>
  <dcterms:created xsi:type="dcterms:W3CDTF">2023-03-02T02:22:00Z</dcterms:created>
  <dcterms:modified xsi:type="dcterms:W3CDTF">2023-03-02T03:50:00Z</dcterms:modified>
</cp:coreProperties>
</file>