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3144D5" wp14:editId="5B92CE3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6FD53" wp14:editId="29FE46E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60694" wp14:editId="1AF329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860694" id="Text Box 4989" o:spid="_x0000_s1027" type="#_x0000_t202" style="position:absolute;left:0;text-align:left;margin-left:88.3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3741" wp14:editId="7D8020C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B73741" id="Text Box 4990" o:spid="_x0000_s1028" type="#_x0000_t202" style="position:absolute;left:0;text-align:left;margin-left:88.6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7CF8A23" wp14:editId="377571C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D5957F" id="Line 498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FF32C2C" wp14:editId="2F9B3EF5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0B8AC5" id="Line 498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19D157B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FE5379" w:rsidRPr="00FE5379">
        <w:rPr>
          <w:rFonts w:ascii="Bookman Old Style" w:hAnsi="Bookman Old Style"/>
          <w:bCs/>
          <w:color w:val="FFFFFF" w:themeColor="background1"/>
          <w:sz w:val="21"/>
          <w:szCs w:val="21"/>
        </w:rPr>
        <w:t>000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</w:t>
      </w:r>
      <w:r w:rsidR="00A22C3B">
        <w:rPr>
          <w:rFonts w:ascii="Bookman Old Style" w:hAnsi="Bookman Old Style"/>
          <w:bCs/>
          <w:sz w:val="21"/>
          <w:szCs w:val="21"/>
        </w:rPr>
        <w:t>L</w:t>
      </w:r>
      <w:r w:rsidR="007E458D">
        <w:rPr>
          <w:rFonts w:ascii="Bookman Old Style" w:hAnsi="Bookman Old Style"/>
          <w:bCs/>
          <w:sz w:val="21"/>
          <w:szCs w:val="21"/>
        </w:rPr>
        <w:t>.0</w:t>
      </w:r>
      <w:r w:rsidR="00240A6F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7643CA">
        <w:rPr>
          <w:rFonts w:ascii="Bookman Old Style" w:hAnsi="Bookman Old Style"/>
          <w:bCs/>
          <w:sz w:val="21"/>
          <w:szCs w:val="21"/>
        </w:rPr>
        <w:t>3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1C06F390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Pemberian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Layanan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Bantuan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Hukum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r w:rsidR="00486A1F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Pati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A</w:t>
      </w:r>
      <w:r w:rsidR="00486A1F">
        <w:rPr>
          <w:rFonts w:ascii="Bookman Old Style" w:hAnsi="Bookman Old Style"/>
          <w:sz w:val="22"/>
          <w:szCs w:val="22"/>
        </w:rPr>
        <w:t>n</w:t>
      </w:r>
      <w:r w:rsidR="00486A1F" w:rsidRPr="00486A1F">
        <w:rPr>
          <w:rFonts w:ascii="Bookman Old Style" w:hAnsi="Bookman Old Style"/>
          <w:sz w:val="22"/>
          <w:szCs w:val="22"/>
        </w:rPr>
        <w:t>gg</w:t>
      </w:r>
      <w:r w:rsidR="00486A1F">
        <w:rPr>
          <w:rFonts w:ascii="Bookman Old Style" w:hAnsi="Bookman Old Style"/>
          <w:sz w:val="22"/>
          <w:szCs w:val="22"/>
        </w:rPr>
        <w:t>a</w:t>
      </w:r>
      <w:r w:rsidR="00486A1F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2022</w:t>
      </w:r>
      <w:r w:rsidR="00486A1F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486A1F">
        <w:rPr>
          <w:rFonts w:ascii="Bookman Old Style" w:hAnsi="Bookman Old Style"/>
          <w:sz w:val="22"/>
          <w:szCs w:val="22"/>
        </w:rPr>
        <w:t>menugaskan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aparatur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486A1F">
        <w:rPr>
          <w:rFonts w:ascii="Bookman Old Style" w:hAnsi="Bookman Old Style"/>
          <w:sz w:val="22"/>
          <w:szCs w:val="22"/>
        </w:rPr>
        <w:t>telah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ditunjuk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sebagai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Kerja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35A05759" w:rsidR="00D16779" w:rsidRDefault="006E6B1D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r w:rsidR="00486A1F" w:rsidRPr="00486A1F">
        <w:rPr>
          <w:rFonts w:ascii="Bookman Old Style" w:hAnsi="Bookman Old Style"/>
          <w:sz w:val="22"/>
          <w:szCs w:val="22"/>
        </w:rPr>
        <w:t xml:space="preserve">Surat </w:t>
      </w:r>
      <w:r w:rsidR="00486A1F">
        <w:rPr>
          <w:rFonts w:ascii="Bookman Old Style" w:hAnsi="Bookman Old Style"/>
          <w:sz w:val="22"/>
          <w:szCs w:val="22"/>
        </w:rPr>
        <w:t>Kep</w:t>
      </w:r>
      <w:r w:rsidR="00486A1F" w:rsidRPr="00486A1F">
        <w:rPr>
          <w:rFonts w:ascii="Bookman Old Style" w:hAnsi="Bookman Old Style"/>
          <w:sz w:val="22"/>
          <w:szCs w:val="22"/>
        </w:rPr>
        <w:t xml:space="preserve">utusan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Kepala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Barang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>/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Jasa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Mahkamah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Nomor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r w:rsidR="002A0224">
        <w:rPr>
          <w:rFonts w:ascii="Bookman Old Style" w:hAnsi="Bookman Old Style"/>
          <w:sz w:val="22"/>
          <w:szCs w:val="22"/>
        </w:rPr>
        <w:t>29</w:t>
      </w:r>
      <w:r w:rsidR="00486A1F" w:rsidRPr="00486A1F">
        <w:rPr>
          <w:rFonts w:ascii="Bookman Old Style" w:hAnsi="Bookman Old Style"/>
          <w:sz w:val="22"/>
          <w:szCs w:val="22"/>
        </w:rPr>
        <w:t>/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Bua.UKPBJ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>/SK/II/202</w:t>
      </w:r>
      <w:r w:rsidR="002A0224">
        <w:rPr>
          <w:rFonts w:ascii="Bookman Old Style" w:hAnsi="Bookman Old Style"/>
          <w:sz w:val="22"/>
          <w:szCs w:val="22"/>
        </w:rPr>
        <w:t>2</w:t>
      </w:r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tentang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Penetapan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Susunan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Penyedia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Kegiatan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Pemberian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Layanan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Bantuan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Hukum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r w:rsidR="002A0224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Pati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A</w:t>
      </w:r>
      <w:r w:rsidR="002A0224">
        <w:rPr>
          <w:rFonts w:ascii="Bookman Old Style" w:hAnsi="Bookman Old Style"/>
          <w:sz w:val="22"/>
          <w:szCs w:val="22"/>
        </w:rPr>
        <w:t>n</w:t>
      </w:r>
      <w:r w:rsidR="002A0224" w:rsidRPr="00486A1F">
        <w:rPr>
          <w:rFonts w:ascii="Bookman Old Style" w:hAnsi="Bookman Old Style"/>
          <w:sz w:val="22"/>
          <w:szCs w:val="22"/>
        </w:rPr>
        <w:t>gg</w:t>
      </w:r>
      <w:r w:rsidR="002A0224">
        <w:rPr>
          <w:rFonts w:ascii="Bookman Old Style" w:hAnsi="Bookman Old Style"/>
          <w:sz w:val="22"/>
          <w:szCs w:val="22"/>
        </w:rPr>
        <w:t>a</w:t>
      </w:r>
      <w:r w:rsidR="002A0224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2022</w:t>
      </w:r>
      <w:r w:rsidR="00486A1F">
        <w:rPr>
          <w:rFonts w:ascii="Bookman Old Style" w:hAnsi="Bookman Old Style"/>
          <w:sz w:val="22"/>
          <w:szCs w:val="22"/>
        </w:rPr>
        <w:t>;</w:t>
      </w:r>
    </w:p>
    <w:p w14:paraId="41FDA8CA" w14:textId="0942C538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86A1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A22C3B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A22C3B">
        <w:rPr>
          <w:rFonts w:ascii="Bookman Old Style" w:hAnsi="Bookman Old Style"/>
          <w:sz w:val="22"/>
          <w:szCs w:val="22"/>
        </w:rPr>
        <w:t>Ketua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2C3B">
        <w:rPr>
          <w:rFonts w:ascii="Bookman Old Style" w:hAnsi="Bookman Old Style"/>
          <w:sz w:val="22"/>
          <w:szCs w:val="22"/>
        </w:rPr>
        <w:t>Pengadilan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Pati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2C3B">
        <w:rPr>
          <w:rFonts w:ascii="Bookman Old Style" w:hAnsi="Bookman Old Style"/>
          <w:sz w:val="22"/>
          <w:szCs w:val="22"/>
        </w:rPr>
        <w:t>Nomor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</w:t>
      </w:r>
      <w:r w:rsidR="000C1DF4">
        <w:rPr>
          <w:rFonts w:ascii="Bookman Old Style" w:hAnsi="Bookman Old Style"/>
          <w:sz w:val="22"/>
          <w:szCs w:val="22"/>
        </w:rPr>
        <w:br/>
      </w:r>
      <w:r w:rsidR="00A22C3B" w:rsidRPr="00A22C3B">
        <w:rPr>
          <w:rFonts w:ascii="Bookman Old Style" w:hAnsi="Bookman Old Style"/>
          <w:sz w:val="22"/>
          <w:szCs w:val="22"/>
        </w:rPr>
        <w:t>W3-A1</w:t>
      </w:r>
      <w:r w:rsidR="002A0224">
        <w:rPr>
          <w:rFonts w:ascii="Bookman Old Style" w:hAnsi="Bookman Old Style"/>
          <w:sz w:val="22"/>
          <w:szCs w:val="22"/>
        </w:rPr>
        <w:t>6</w:t>
      </w:r>
      <w:r w:rsidR="00A22C3B" w:rsidRPr="00A22C3B">
        <w:rPr>
          <w:rFonts w:ascii="Bookman Old Style" w:hAnsi="Bookman Old Style"/>
          <w:sz w:val="22"/>
          <w:szCs w:val="22"/>
        </w:rPr>
        <w:t>/</w:t>
      </w:r>
      <w:r w:rsidR="00547E96">
        <w:rPr>
          <w:rFonts w:ascii="Bookman Old Style" w:hAnsi="Bookman Old Style"/>
          <w:sz w:val="22"/>
          <w:szCs w:val="22"/>
        </w:rPr>
        <w:t>54</w:t>
      </w:r>
      <w:r w:rsidR="002A0224">
        <w:rPr>
          <w:rFonts w:ascii="Bookman Old Style" w:hAnsi="Bookman Old Style"/>
          <w:sz w:val="22"/>
          <w:szCs w:val="22"/>
        </w:rPr>
        <w:t>1</w:t>
      </w:r>
      <w:r w:rsidR="00A22C3B" w:rsidRPr="00A22C3B">
        <w:rPr>
          <w:rFonts w:ascii="Bookman Old Style" w:hAnsi="Bookman Old Style"/>
          <w:sz w:val="22"/>
          <w:szCs w:val="22"/>
        </w:rPr>
        <w:t>/PL.01/I</w:t>
      </w:r>
      <w:r w:rsidR="00547E96">
        <w:rPr>
          <w:rFonts w:ascii="Bookman Old Style" w:hAnsi="Bookman Old Style"/>
          <w:sz w:val="22"/>
          <w:szCs w:val="22"/>
        </w:rPr>
        <w:t>I</w:t>
      </w:r>
      <w:r w:rsidR="00A22C3B" w:rsidRPr="00A22C3B">
        <w:rPr>
          <w:rFonts w:ascii="Bookman Old Style" w:hAnsi="Bookman Old Style"/>
          <w:sz w:val="22"/>
          <w:szCs w:val="22"/>
        </w:rPr>
        <w:t xml:space="preserve">I/2022 </w:t>
      </w:r>
      <w:proofErr w:type="spellStart"/>
      <w:r w:rsidR="000C1DF4">
        <w:rPr>
          <w:rFonts w:ascii="Bookman Old Style" w:hAnsi="Bookman Old Style"/>
          <w:sz w:val="22"/>
          <w:szCs w:val="22"/>
        </w:rPr>
        <w:t>tanggal</w:t>
      </w:r>
      <w:proofErr w:type="spellEnd"/>
      <w:r w:rsidR="000C1DF4">
        <w:rPr>
          <w:rFonts w:ascii="Bookman Old Style" w:hAnsi="Bookman Old Style"/>
          <w:sz w:val="22"/>
          <w:szCs w:val="22"/>
        </w:rPr>
        <w:t xml:space="preserve"> </w:t>
      </w:r>
      <w:r w:rsidR="002A0224">
        <w:rPr>
          <w:rFonts w:ascii="Bookman Old Style" w:hAnsi="Bookman Old Style"/>
          <w:sz w:val="22"/>
          <w:szCs w:val="22"/>
        </w:rPr>
        <w:t>22</w:t>
      </w:r>
      <w:r w:rsid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7E96">
        <w:rPr>
          <w:rFonts w:ascii="Bookman Old Style" w:hAnsi="Bookman Old Style"/>
          <w:sz w:val="22"/>
          <w:szCs w:val="22"/>
        </w:rPr>
        <w:t>Maret</w:t>
      </w:r>
      <w:proofErr w:type="spellEnd"/>
      <w:r w:rsidR="000C1DF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C1DF4">
        <w:rPr>
          <w:rFonts w:ascii="Bookman Old Style" w:hAnsi="Bookman Old Style"/>
          <w:sz w:val="22"/>
          <w:szCs w:val="22"/>
        </w:rPr>
        <w:t>perihal</w:t>
      </w:r>
      <w:proofErr w:type="spellEnd"/>
      <w:r w:rsid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Mohon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Penugasan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a.n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2A0224">
        <w:rPr>
          <w:rFonts w:ascii="Bookman Old Style" w:hAnsi="Bookman Old Style"/>
          <w:sz w:val="22"/>
          <w:szCs w:val="22"/>
        </w:rPr>
        <w:t>Efri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Sukma</w:t>
      </w:r>
      <w:proofErr w:type="spellEnd"/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A830F1F" w14:textId="56E23A91" w:rsidR="000C1DF4" w:rsidRDefault="006E6B1D" w:rsidP="000C1DF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Nama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r w:rsidR="000C1DF4">
        <w:rPr>
          <w:rFonts w:ascii="Bookman Old Style" w:hAnsi="Bookman Old Style"/>
          <w:sz w:val="22"/>
          <w:szCs w:val="22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: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Efri</w:t>
      </w:r>
      <w:proofErr w:type="spellEnd"/>
      <w:r w:rsidR="00486A1F" w:rsidRPr="000C1DF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Sukma</w:t>
      </w:r>
      <w:proofErr w:type="spellEnd"/>
    </w:p>
    <w:p w14:paraId="00E7E511" w14:textId="3FEDADEF" w:rsidR="000C1DF4" w:rsidRPr="00A22C3B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</w:rPr>
        <w:t>198402152006041004</w:t>
      </w:r>
    </w:p>
    <w:p w14:paraId="5B4B779E" w14:textId="1C367AD3" w:rsid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Tk. I (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/d)</w:t>
      </w:r>
    </w:p>
    <w:p w14:paraId="7938DC4F" w14:textId="7537A040" w:rsid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F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F4">
        <w:rPr>
          <w:rFonts w:ascii="Bookman Old Style" w:hAnsi="Bookman Old Style"/>
          <w:sz w:val="22"/>
          <w:szCs w:val="22"/>
        </w:rPr>
        <w:t>Pemelihara</w:t>
      </w:r>
      <w:proofErr w:type="spellEnd"/>
      <w:r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F4">
        <w:rPr>
          <w:rFonts w:ascii="Bookman Old Style" w:hAnsi="Bookman Old Style"/>
          <w:sz w:val="22"/>
          <w:szCs w:val="22"/>
        </w:rPr>
        <w:t>Sarana</w:t>
      </w:r>
      <w:proofErr w:type="spellEnd"/>
      <w:r w:rsidRPr="000C1D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0C1DF4">
        <w:rPr>
          <w:rFonts w:ascii="Bookman Old Style" w:hAnsi="Bookman Old Style"/>
          <w:sz w:val="22"/>
          <w:szCs w:val="22"/>
        </w:rPr>
        <w:t>Prasarana</w:t>
      </w:r>
      <w:proofErr w:type="spellEnd"/>
    </w:p>
    <w:p w14:paraId="720BA611" w14:textId="6BEF9DD0" w:rsidR="002A0224" w:rsidRPr="000C1DF4" w:rsidRDefault="002A022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0B36838" w14:textId="7398084B" w:rsidR="00E73285" w:rsidRDefault="00E73285" w:rsidP="000C1DF4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33BB25E5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486A1F">
        <w:rPr>
          <w:rFonts w:ascii="Bookman Old Style" w:hAnsi="Bookman Old Style"/>
          <w:spacing w:val="2"/>
          <w:sz w:val="22"/>
          <w:szCs w:val="22"/>
        </w:rPr>
        <w:t>Mengikut</w:t>
      </w:r>
      <w:proofErr w:type="spellEnd"/>
      <w:r w:rsidR="00486A1F"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86A1F" w:rsidRPr="000C1DF4">
        <w:rPr>
          <w:rFonts w:ascii="Bookman Old Style" w:hAnsi="Bookman Old Style"/>
          <w:sz w:val="22"/>
          <w:szCs w:val="22"/>
        </w:rPr>
        <w:t>kegiatan</w:t>
      </w:r>
      <w:proofErr w:type="spellEnd"/>
      <w:r w:rsidR="00486A1F"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pembukaan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40A6F">
        <w:rPr>
          <w:rFonts w:ascii="Bookman Old Style" w:hAnsi="Bookman Old Style"/>
          <w:sz w:val="22"/>
          <w:szCs w:val="22"/>
        </w:rPr>
        <w:t>evaluasi</w:t>
      </w:r>
      <w:proofErr w:type="spellEnd"/>
      <w:r w:rsidR="00240A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0A6F">
        <w:rPr>
          <w:rFonts w:ascii="Bookman Old Style" w:hAnsi="Bookman Old Style"/>
          <w:sz w:val="22"/>
          <w:szCs w:val="22"/>
        </w:rPr>
        <w:t>penawaran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2A0224">
        <w:rPr>
          <w:rFonts w:ascii="Bookman Old Style" w:hAnsi="Bookman Old Style"/>
          <w:sz w:val="22"/>
          <w:szCs w:val="22"/>
        </w:rPr>
        <w:t>penetapan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A0224">
        <w:rPr>
          <w:rFonts w:ascii="Bookman Old Style" w:hAnsi="Bookman Old Style"/>
          <w:sz w:val="22"/>
          <w:szCs w:val="22"/>
        </w:rPr>
        <w:t>pengumuman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pemenang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0A6F" w:rsidRPr="000C1DF4">
        <w:rPr>
          <w:rFonts w:ascii="Bookman Old Style" w:hAnsi="Bookman Old Style"/>
          <w:sz w:val="22"/>
          <w:szCs w:val="22"/>
        </w:rPr>
        <w:t>pengadaan</w:t>
      </w:r>
      <w:proofErr w:type="spellEnd"/>
      <w:r w:rsidR="00240A6F"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Pemberian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Layanan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Bantuan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Hukum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r w:rsidR="002A0224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z w:val="22"/>
          <w:szCs w:val="22"/>
        </w:rPr>
        <w:t>Pati</w:t>
      </w:r>
      <w:proofErr w:type="spellEnd"/>
      <w:r w:rsidR="002A02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224" w:rsidRPr="00486A1F">
        <w:rPr>
          <w:rFonts w:ascii="Bookman Old Style" w:hAnsi="Bookman Old Style"/>
          <w:sz w:val="22"/>
          <w:szCs w:val="22"/>
        </w:rPr>
        <w:t>A</w:t>
      </w:r>
      <w:r w:rsidR="002A0224">
        <w:rPr>
          <w:rFonts w:ascii="Bookman Old Style" w:hAnsi="Bookman Old Style"/>
          <w:sz w:val="22"/>
          <w:szCs w:val="22"/>
        </w:rPr>
        <w:t>n</w:t>
      </w:r>
      <w:r w:rsidR="002A0224" w:rsidRPr="00486A1F">
        <w:rPr>
          <w:rFonts w:ascii="Bookman Old Style" w:hAnsi="Bookman Old Style"/>
          <w:sz w:val="22"/>
          <w:szCs w:val="22"/>
        </w:rPr>
        <w:t>gg</w:t>
      </w:r>
      <w:r w:rsidR="002A0224">
        <w:rPr>
          <w:rFonts w:ascii="Bookman Old Style" w:hAnsi="Bookman Old Style"/>
          <w:sz w:val="22"/>
          <w:szCs w:val="22"/>
        </w:rPr>
        <w:t>a</w:t>
      </w:r>
      <w:r w:rsidR="002A0224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2A0224" w:rsidRPr="00486A1F">
        <w:rPr>
          <w:rFonts w:ascii="Bookman Old Style" w:hAnsi="Bookman Old Style"/>
          <w:sz w:val="22"/>
          <w:szCs w:val="22"/>
        </w:rPr>
        <w:t xml:space="preserve"> 2022</w:t>
      </w:r>
      <w:r w:rsidR="002A0224">
        <w:rPr>
          <w:rFonts w:ascii="Bookman Old Style" w:hAnsi="Bookman Old Style"/>
          <w:sz w:val="22"/>
          <w:szCs w:val="22"/>
        </w:rPr>
        <w:t xml:space="preserve"> </w:t>
      </w:r>
      <w:r w:rsidRPr="00240A6F">
        <w:rPr>
          <w:rFonts w:ascii="Bookman Old Style" w:hAnsi="Bookman Old Style"/>
          <w:spacing w:val="-4"/>
          <w:sz w:val="22"/>
          <w:szCs w:val="22"/>
        </w:rPr>
        <w:t>pada</w:t>
      </w:r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40A6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A0224">
        <w:rPr>
          <w:rFonts w:ascii="Bookman Old Style" w:hAnsi="Bookman Old Style"/>
          <w:spacing w:val="-4"/>
          <w:sz w:val="22"/>
          <w:szCs w:val="22"/>
        </w:rPr>
        <w:t>24</w:t>
      </w:r>
      <w:r w:rsidR="00333AED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47E96">
        <w:rPr>
          <w:rFonts w:ascii="Bookman Old Style" w:hAnsi="Bookman Old Style"/>
          <w:spacing w:val="-4"/>
          <w:sz w:val="22"/>
          <w:szCs w:val="22"/>
        </w:rPr>
        <w:t>Maret</w:t>
      </w:r>
      <w:proofErr w:type="spellEnd"/>
      <w:r w:rsidR="00547E96">
        <w:rPr>
          <w:rFonts w:ascii="Bookman Old Style" w:hAnsi="Bookman Old Style"/>
          <w:spacing w:val="-4"/>
          <w:sz w:val="22"/>
          <w:szCs w:val="22"/>
        </w:rPr>
        <w:t xml:space="preserve"> 2022 di </w:t>
      </w:r>
      <w:proofErr w:type="spellStart"/>
      <w:r w:rsidR="002A0224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2A0224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 w:rsidR="00547E96">
        <w:rPr>
          <w:rFonts w:ascii="Bookman Old Style" w:hAnsi="Bookman Old Style"/>
          <w:spacing w:val="-4"/>
          <w:sz w:val="22"/>
          <w:szCs w:val="22"/>
        </w:rPr>
        <w:t>;</w:t>
      </w:r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7974D08D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2A0224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2A022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A0224"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 w:rsidR="002A0224"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042E2E00" w14:textId="3A080BBA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61B6B4A9" w14:textId="1171AE6E" w:rsidR="00486A1F" w:rsidRDefault="00486A1F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4333BC82" w:rsidR="006E6B1D" w:rsidRPr="00A668A4" w:rsidRDefault="002A0224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</w:t>
      </w:r>
      <w:r w:rsidR="00D34B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3CA">
        <w:rPr>
          <w:rFonts w:ascii="Bookman Old Style" w:hAnsi="Bookman Old Style"/>
          <w:sz w:val="22"/>
          <w:szCs w:val="22"/>
        </w:rPr>
        <w:t>Maret</w:t>
      </w:r>
      <w:proofErr w:type="spellEnd"/>
      <w:r w:rsidR="007643CA">
        <w:rPr>
          <w:rFonts w:ascii="Bookman Old Style" w:hAnsi="Bookman Old Style"/>
          <w:sz w:val="22"/>
          <w:szCs w:val="22"/>
        </w:rPr>
        <w:t xml:space="preserve">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602CAF7B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486A1F">
        <w:rPr>
          <w:rFonts w:ascii="Bookman Old Style" w:hAnsi="Bookman Old Style"/>
          <w:b/>
          <w:sz w:val="22"/>
          <w:szCs w:val="22"/>
        </w:rPr>
        <w:tab/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DE01AEE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4E6D1049" w:rsidR="00876ACD" w:rsidRP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5ED7DE3" w14:textId="2E40F289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CA53C54" w14:textId="04420781" w:rsidR="00486A1F" w:rsidRPr="003242C7" w:rsidRDefault="00486A1F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1DB959B" w14:textId="07793C13" w:rsidR="00076211" w:rsidRDefault="00486A1F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2A0E087" w14:textId="55314227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5DC3C7E1" w14:textId="7E031EB6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D34BA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r w:rsidR="00486A1F">
        <w:rPr>
          <w:rFonts w:ascii="Bookman Old Style" w:hAnsi="Bookman Old Style"/>
          <w:bCs/>
          <w:sz w:val="20"/>
          <w:szCs w:val="20"/>
        </w:rPr>
        <w:t xml:space="preserve">Agama </w:t>
      </w:r>
      <w:proofErr w:type="spellStart"/>
      <w:r w:rsidR="002A0224"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 w:rsidR="002A0224">
        <w:rPr>
          <w:rFonts w:ascii="Bookman Old Style" w:hAnsi="Bookman Old Style"/>
          <w:bCs/>
          <w:sz w:val="20"/>
          <w:szCs w:val="20"/>
        </w:rPr>
        <w:t xml:space="preserve"> Pati.</w:t>
      </w:r>
      <w:bookmarkStart w:id="0" w:name="_GoBack"/>
      <w:bookmarkEnd w:id="0"/>
    </w:p>
    <w:sectPr w:rsidR="00D34BA6" w:rsidRPr="00D34BA6" w:rsidSect="00486A1F">
      <w:pgSz w:w="12240" w:h="18720" w:code="14"/>
      <w:pgMar w:top="567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F050" w14:textId="77777777" w:rsidR="00BE5E6C" w:rsidRDefault="00BE5E6C" w:rsidP="006E6B1D">
      <w:r>
        <w:separator/>
      </w:r>
    </w:p>
  </w:endnote>
  <w:endnote w:type="continuationSeparator" w:id="0">
    <w:p w14:paraId="1B677B56" w14:textId="77777777" w:rsidR="00BE5E6C" w:rsidRDefault="00BE5E6C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D16B" w14:textId="77777777" w:rsidR="00BE5E6C" w:rsidRDefault="00BE5E6C" w:rsidP="006E6B1D">
      <w:r>
        <w:separator/>
      </w:r>
    </w:p>
  </w:footnote>
  <w:footnote w:type="continuationSeparator" w:id="0">
    <w:p w14:paraId="1342CE4D" w14:textId="77777777" w:rsidR="00BE5E6C" w:rsidRDefault="00BE5E6C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08AD"/>
    <w:rsid w:val="000A10B7"/>
    <w:rsid w:val="000A33CD"/>
    <w:rsid w:val="000A7716"/>
    <w:rsid w:val="000C1DF4"/>
    <w:rsid w:val="000E23D1"/>
    <w:rsid w:val="001066AD"/>
    <w:rsid w:val="00111D51"/>
    <w:rsid w:val="00113CF4"/>
    <w:rsid w:val="001140DE"/>
    <w:rsid w:val="0012165F"/>
    <w:rsid w:val="00145E55"/>
    <w:rsid w:val="0016529D"/>
    <w:rsid w:val="001B4EBA"/>
    <w:rsid w:val="00206047"/>
    <w:rsid w:val="00215E54"/>
    <w:rsid w:val="0024042E"/>
    <w:rsid w:val="00240A6F"/>
    <w:rsid w:val="002A0224"/>
    <w:rsid w:val="003142B6"/>
    <w:rsid w:val="00320C2E"/>
    <w:rsid w:val="00333AED"/>
    <w:rsid w:val="0039314A"/>
    <w:rsid w:val="003A39D2"/>
    <w:rsid w:val="003C2A5B"/>
    <w:rsid w:val="00486A1F"/>
    <w:rsid w:val="00494B0B"/>
    <w:rsid w:val="004A0D89"/>
    <w:rsid w:val="004F20ED"/>
    <w:rsid w:val="005075BE"/>
    <w:rsid w:val="00531CAE"/>
    <w:rsid w:val="00541005"/>
    <w:rsid w:val="00542432"/>
    <w:rsid w:val="00544944"/>
    <w:rsid w:val="00547E96"/>
    <w:rsid w:val="005520E7"/>
    <w:rsid w:val="005A7BEE"/>
    <w:rsid w:val="005B18FE"/>
    <w:rsid w:val="005F57FB"/>
    <w:rsid w:val="00616F0A"/>
    <w:rsid w:val="00644890"/>
    <w:rsid w:val="006B220F"/>
    <w:rsid w:val="006C5CC0"/>
    <w:rsid w:val="006E6B1D"/>
    <w:rsid w:val="00744517"/>
    <w:rsid w:val="00746B12"/>
    <w:rsid w:val="007643CA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95288B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22C3B"/>
    <w:rsid w:val="00A55668"/>
    <w:rsid w:val="00A668A4"/>
    <w:rsid w:val="00A70FF7"/>
    <w:rsid w:val="00AC6670"/>
    <w:rsid w:val="00B672AB"/>
    <w:rsid w:val="00BB0CB2"/>
    <w:rsid w:val="00BD6582"/>
    <w:rsid w:val="00BE5E6C"/>
    <w:rsid w:val="00BF4C9E"/>
    <w:rsid w:val="00C130F9"/>
    <w:rsid w:val="00C40411"/>
    <w:rsid w:val="00C47A2F"/>
    <w:rsid w:val="00C72CFF"/>
    <w:rsid w:val="00C75AAC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Rifka Hidayat</cp:lastModifiedBy>
  <cp:revision>3</cp:revision>
  <cp:lastPrinted>2022-02-22T01:25:00Z</cp:lastPrinted>
  <dcterms:created xsi:type="dcterms:W3CDTF">2022-03-23T22:39:00Z</dcterms:created>
  <dcterms:modified xsi:type="dcterms:W3CDTF">2022-03-23T22:43:00Z</dcterms:modified>
</cp:coreProperties>
</file>