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CA3296C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FD1C56">
        <w:rPr>
          <w:rFonts w:ascii="Bookman Old Style" w:hAnsi="Bookman Old Style"/>
          <w:bCs/>
          <w:sz w:val="22"/>
          <w:szCs w:val="22"/>
        </w:rPr>
        <w:t xml:space="preserve"> </w:t>
      </w:r>
      <w:r w:rsidR="007E630E">
        <w:rPr>
          <w:rFonts w:ascii="Bookman Old Style" w:hAnsi="Bookman Old Style"/>
          <w:bCs/>
          <w:sz w:val="22"/>
          <w:szCs w:val="22"/>
        </w:rPr>
        <w:t xml:space="preserve">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1A3211" w:rsidRPr="001A3211">
        <w:rPr>
          <w:rFonts w:ascii="Bookman Old Style" w:hAnsi="Bookman Old Style"/>
          <w:bCs/>
          <w:sz w:val="22"/>
          <w:szCs w:val="22"/>
        </w:rPr>
        <w:t>KP3.4.2</w:t>
      </w:r>
      <w:r w:rsidR="00B35FDB" w:rsidRPr="00B35FDB">
        <w:rPr>
          <w:rFonts w:ascii="Bookman Old Style" w:hAnsi="Bookman Old Style"/>
          <w:bCs/>
          <w:sz w:val="22"/>
          <w:szCs w:val="22"/>
        </w:rPr>
        <w:t>/</w:t>
      </w:r>
      <w:r w:rsidR="007E630E">
        <w:rPr>
          <w:rFonts w:ascii="Bookman Old Style" w:hAnsi="Bookman Old Style"/>
          <w:bCs/>
          <w:sz w:val="22"/>
          <w:szCs w:val="22"/>
        </w:rPr>
        <w:t>I</w:t>
      </w:r>
      <w:r w:rsidR="003319AC">
        <w:rPr>
          <w:rFonts w:ascii="Bookman Old Style" w:hAnsi="Bookman Old Style"/>
          <w:bCs/>
          <w:sz w:val="22"/>
          <w:szCs w:val="22"/>
        </w:rPr>
        <w:t>V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51173B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480F946A" w:rsidR="00422CD3" w:rsidRPr="002E3DE3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</w:r>
      <w:r w:rsidR="002C5AD1" w:rsidRPr="002E3DE3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3319AC" w:rsidRPr="002E3DE3">
        <w:rPr>
          <w:rFonts w:ascii="Bookman Old Style" w:hAnsi="Bookman Old Style"/>
          <w:sz w:val="21"/>
          <w:szCs w:val="21"/>
          <w:lang w:val="id-ID"/>
        </w:rPr>
        <w:t>Pengadilan Tinggi Agama Padang mengadakan kegiatan Pembinaan Yang Mulia Ketua Mahkamah Agung RI, Prof. Dr. H. Sunarto, S.H., M.H</w:t>
      </w:r>
      <w:r w:rsidR="00AD480B" w:rsidRPr="002E3DE3">
        <w:rPr>
          <w:rFonts w:ascii="Bookman Old Style" w:hAnsi="Bookman Old Style"/>
          <w:sz w:val="21"/>
          <w:szCs w:val="21"/>
        </w:rPr>
        <w:t>.</w:t>
      </w:r>
      <w:r w:rsidR="003319AC" w:rsidRPr="002E3DE3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diikuti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, Wakil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dan Hakim Tinggi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Pengadilan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51D0ABA" w14:textId="77777777" w:rsidR="00764754" w:rsidRPr="009B2CA7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CAB485D" w14:textId="7EABF0EC" w:rsidR="002C5AD1" w:rsidRPr="002E3DE3" w:rsidRDefault="00422CD3" w:rsidP="001A3211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</w:rPr>
        <w:t>Dasar</w:t>
      </w:r>
      <w:r w:rsidRPr="002E3DE3">
        <w:rPr>
          <w:rFonts w:ascii="Bookman Old Style" w:hAnsi="Bookman Old Style"/>
          <w:sz w:val="21"/>
          <w:szCs w:val="21"/>
        </w:rPr>
        <w:tab/>
        <w:t>:</w:t>
      </w:r>
      <w:r w:rsidR="002C5AD1" w:rsidRPr="002E3DE3">
        <w:rPr>
          <w:rFonts w:ascii="Bookman Old Style" w:hAnsi="Bookman Old Style"/>
          <w:sz w:val="21"/>
          <w:szCs w:val="21"/>
        </w:rPr>
        <w:tab/>
      </w:r>
      <w:r w:rsidR="003319AC" w:rsidRPr="002E3DE3">
        <w:rPr>
          <w:rFonts w:ascii="Bookman Old Style" w:hAnsi="Bookman Old Style"/>
          <w:sz w:val="21"/>
          <w:szCs w:val="21"/>
        </w:rPr>
        <w:t xml:space="preserve">Surat Wakil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Pengadilan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nomor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808/WKPT.W3-U/UND.HM3.1.1/IV/2025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tanggal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23 April 2025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perihal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Undangan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Pembinaan</w:t>
      </w:r>
      <w:proofErr w:type="spellEnd"/>
      <w:r w:rsidR="0051173B" w:rsidRPr="002E3DE3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2E3DE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2E3DE3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2E3DE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1F3D8F97" w14:textId="77777777" w:rsidR="002E3DE3" w:rsidRPr="002E3DE3" w:rsidRDefault="00594D1D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Kepada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</w:p>
    <w:p w14:paraId="61ED46ED" w14:textId="77777777" w:rsidR="002E3DE3" w:rsidRPr="009B2CA7" w:rsidRDefault="002E3DE3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13"/>
          <w:szCs w:val="13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9"/>
        <w:gridCol w:w="3245"/>
        <w:gridCol w:w="2943"/>
        <w:gridCol w:w="708"/>
        <w:gridCol w:w="1687"/>
      </w:tblGrid>
      <w:tr w:rsidR="002E3DE3" w:rsidRPr="002E3DE3" w14:paraId="79D71FEF" w14:textId="77777777" w:rsidTr="009B2CA7">
        <w:tc>
          <w:tcPr>
            <w:tcW w:w="426" w:type="dxa"/>
          </w:tcPr>
          <w:p w14:paraId="4179CA05" w14:textId="38FF06F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No</w:t>
            </w:r>
          </w:p>
        </w:tc>
        <w:tc>
          <w:tcPr>
            <w:tcW w:w="3260" w:type="dxa"/>
          </w:tcPr>
          <w:p w14:paraId="7847FDAD" w14:textId="41D745B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Nama dan NIP</w:t>
            </w:r>
          </w:p>
        </w:tc>
        <w:tc>
          <w:tcPr>
            <w:tcW w:w="2977" w:type="dxa"/>
          </w:tcPr>
          <w:p w14:paraId="7CDBE136" w14:textId="17B8726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Jabatan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dan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Satuan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708" w:type="dxa"/>
          </w:tcPr>
          <w:p w14:paraId="1A5BCF21" w14:textId="08B9EEC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Gol</w:t>
            </w:r>
          </w:p>
        </w:tc>
        <w:tc>
          <w:tcPr>
            <w:tcW w:w="1701" w:type="dxa"/>
          </w:tcPr>
          <w:p w14:paraId="4F25D7DD" w14:textId="7761D86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Tanggal</w:t>
            </w:r>
            <w:proofErr w:type="spellEnd"/>
          </w:p>
        </w:tc>
      </w:tr>
      <w:tr w:rsidR="002E3DE3" w:rsidRPr="002E3DE3" w14:paraId="7E7B184C" w14:textId="77777777" w:rsidTr="009B2CA7">
        <w:tc>
          <w:tcPr>
            <w:tcW w:w="426" w:type="dxa"/>
          </w:tcPr>
          <w:p w14:paraId="4CF10E2F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0120ADD" w14:textId="77777777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Dr. Abd. Hakim, M.H.I.</w:t>
            </w:r>
          </w:p>
          <w:p w14:paraId="56B9EC60" w14:textId="130C89CB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196108311987031003</w:t>
            </w:r>
          </w:p>
        </w:tc>
        <w:tc>
          <w:tcPr>
            <w:tcW w:w="2977" w:type="dxa"/>
          </w:tcPr>
          <w:p w14:paraId="35AE0DC5" w14:textId="6A7F744F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Ketua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  <w:tc>
          <w:tcPr>
            <w:tcW w:w="708" w:type="dxa"/>
          </w:tcPr>
          <w:p w14:paraId="715311CF" w14:textId="320CC762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1ADF2AD6" w14:textId="418903AC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ABC1927" w14:textId="77777777" w:rsidTr="009B2CA7">
        <w:tc>
          <w:tcPr>
            <w:tcW w:w="426" w:type="dxa"/>
          </w:tcPr>
          <w:p w14:paraId="40658589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43C815F" w14:textId="77777777" w:rsid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Drs. H.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Alaidin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, M.H.</w:t>
            </w:r>
          </w:p>
          <w:p w14:paraId="11C0B7B5" w14:textId="30871371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196909091994031004</w:t>
            </w:r>
          </w:p>
        </w:tc>
        <w:tc>
          <w:tcPr>
            <w:tcW w:w="2977" w:type="dxa"/>
          </w:tcPr>
          <w:p w14:paraId="2954538D" w14:textId="5EDA88B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Wakil Ketua Pengadilan Tinggi Agama Padang</w:t>
            </w:r>
          </w:p>
        </w:tc>
        <w:tc>
          <w:tcPr>
            <w:tcW w:w="708" w:type="dxa"/>
          </w:tcPr>
          <w:p w14:paraId="231615ED" w14:textId="2518F5F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IV/d</w:t>
            </w:r>
          </w:p>
        </w:tc>
        <w:tc>
          <w:tcPr>
            <w:tcW w:w="1701" w:type="dxa"/>
          </w:tcPr>
          <w:p w14:paraId="2153E670" w14:textId="3E4628E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5B4139FA" w14:textId="77777777" w:rsidTr="009B2CA7">
        <w:tc>
          <w:tcPr>
            <w:tcW w:w="426" w:type="dxa"/>
          </w:tcPr>
          <w:p w14:paraId="5327D116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3D4709A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Drs. Syafri Amrul, M.H.I.</w:t>
            </w:r>
          </w:p>
          <w:p w14:paraId="398D1F1F" w14:textId="44321B4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195804101987031006</w:t>
            </w:r>
          </w:p>
        </w:tc>
        <w:tc>
          <w:tcPr>
            <w:tcW w:w="2977" w:type="dxa"/>
          </w:tcPr>
          <w:p w14:paraId="75EFB1D7" w14:textId="20F381A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07866D2F" w14:textId="4C651A4A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4B176317" w14:textId="249C2213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22B72C2" w14:textId="77777777" w:rsidTr="009B2CA7">
        <w:tc>
          <w:tcPr>
            <w:tcW w:w="426" w:type="dxa"/>
          </w:tcPr>
          <w:p w14:paraId="0D5FA546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5FE8243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Drs. H. M.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Nasrul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K, S.H., M.H.</w:t>
            </w:r>
          </w:p>
          <w:p w14:paraId="295438FC" w14:textId="1C6B4981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196209171990031002</w:t>
            </w:r>
          </w:p>
        </w:tc>
        <w:tc>
          <w:tcPr>
            <w:tcW w:w="2977" w:type="dxa"/>
          </w:tcPr>
          <w:p w14:paraId="1F1AEB20" w14:textId="0A4B5163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66BADA5A" w14:textId="72327C0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2957A396" w14:textId="14D40BE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13BB888E" w14:textId="77777777" w:rsidTr="009B2CA7">
        <w:tc>
          <w:tcPr>
            <w:tcW w:w="426" w:type="dxa"/>
          </w:tcPr>
          <w:p w14:paraId="7D4347C9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A1923C9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Bahrul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Amzah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  <w:p w14:paraId="1925ECD9" w14:textId="0B1DBFF8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hyperlink r:id="rId7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195810201989031003</w:t>
              </w:r>
            </w:hyperlink>
          </w:p>
        </w:tc>
        <w:tc>
          <w:tcPr>
            <w:tcW w:w="2977" w:type="dxa"/>
          </w:tcPr>
          <w:p w14:paraId="5EFBFA00" w14:textId="067E001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03B2C28C" w14:textId="15CDDE7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7BDE2197" w14:textId="25DA081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7BF22068" w14:textId="77777777" w:rsidTr="009B2CA7">
        <w:tc>
          <w:tcPr>
            <w:tcW w:w="426" w:type="dxa"/>
          </w:tcPr>
          <w:p w14:paraId="57CE5A10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9855719" w14:textId="7777777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Dr. Drs. </w:t>
            </w: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Abdul Hadi</w:t>
            </w: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, M.H.I.</w:t>
            </w:r>
          </w:p>
          <w:p w14:paraId="2261FB06" w14:textId="153CAF04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hyperlink r:id="rId8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196212281993031004</w:t>
              </w:r>
            </w:hyperlink>
          </w:p>
        </w:tc>
        <w:tc>
          <w:tcPr>
            <w:tcW w:w="2977" w:type="dxa"/>
          </w:tcPr>
          <w:p w14:paraId="23E7CC2E" w14:textId="2AD6EE0B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0E90C0A1" w14:textId="15DCF3E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623A91A4" w14:textId="38764742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5D535C8" w14:textId="77777777" w:rsidTr="009B2CA7">
        <w:tc>
          <w:tcPr>
            <w:tcW w:w="426" w:type="dxa"/>
          </w:tcPr>
          <w:p w14:paraId="4D2B3935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3C39804" w14:textId="7777777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Drs. </w:t>
            </w:r>
            <w:proofErr w:type="spellStart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Salwi</w:t>
            </w:r>
            <w:proofErr w:type="spellEnd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, S.H.</w:t>
            </w:r>
          </w:p>
          <w:p w14:paraId="0E3E8FD5" w14:textId="37BD1EB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hyperlink r:id="rId9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196204171992031001</w:t>
              </w:r>
            </w:hyperlink>
          </w:p>
        </w:tc>
        <w:tc>
          <w:tcPr>
            <w:tcW w:w="2977" w:type="dxa"/>
          </w:tcPr>
          <w:p w14:paraId="11208F3C" w14:textId="1276D47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2923B4C2" w14:textId="5886530A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59DA46A6" w14:textId="2C987915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3F988CAA" w14:textId="77777777" w:rsidTr="009B2CA7">
        <w:tc>
          <w:tcPr>
            <w:tcW w:w="426" w:type="dxa"/>
          </w:tcPr>
          <w:p w14:paraId="5FD8FE3C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1431266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Dra. </w:t>
            </w:r>
            <w:proofErr w:type="spellStart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Arnetis</w:t>
            </w:r>
            <w:proofErr w:type="spellEnd"/>
          </w:p>
          <w:p w14:paraId="229E31B8" w14:textId="4260349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196303201991032002</w:t>
            </w:r>
          </w:p>
        </w:tc>
        <w:tc>
          <w:tcPr>
            <w:tcW w:w="2977" w:type="dxa"/>
          </w:tcPr>
          <w:p w14:paraId="29E6253B" w14:textId="73C2BDF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7D2F038C" w14:textId="342C8A3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0FA81E21" w14:textId="7069E6C1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3EE1341E" w14:textId="77777777" w:rsidTr="009B2CA7">
        <w:tc>
          <w:tcPr>
            <w:tcW w:w="426" w:type="dxa"/>
          </w:tcPr>
          <w:p w14:paraId="546620D3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08EE6EA" w14:textId="5F98F0D2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Burnalis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>M.A.</w:t>
            </w:r>
          </w:p>
          <w:p w14:paraId="6D060EAC" w14:textId="6893C38C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196207061982032002</w:t>
            </w:r>
          </w:p>
        </w:tc>
        <w:tc>
          <w:tcPr>
            <w:tcW w:w="2977" w:type="dxa"/>
          </w:tcPr>
          <w:p w14:paraId="1C6DDC64" w14:textId="10FE7E8E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3DAC9E34" w14:textId="1F76CBDF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223DFB5F" w14:textId="29C668EF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28A5E77E" w14:textId="77777777" w:rsidTr="009B2CA7">
        <w:tc>
          <w:tcPr>
            <w:tcW w:w="426" w:type="dxa"/>
          </w:tcPr>
          <w:p w14:paraId="6FD2F10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91835CB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Dra. Zulfiarti</w:t>
            </w:r>
          </w:p>
          <w:p w14:paraId="0A76BD12" w14:textId="33A0DD80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196307111992032003</w:t>
            </w:r>
          </w:p>
        </w:tc>
        <w:tc>
          <w:tcPr>
            <w:tcW w:w="2977" w:type="dxa"/>
          </w:tcPr>
          <w:p w14:paraId="08400F51" w14:textId="0E49CE8D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1C985D9C" w14:textId="2B77E4D5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1C4BF294" w14:textId="3BB4652D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3EAC2DF8" w14:textId="77777777" w:rsidTr="009B2CA7">
        <w:tc>
          <w:tcPr>
            <w:tcW w:w="426" w:type="dxa"/>
          </w:tcPr>
          <w:p w14:paraId="3D4EBE9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5644B78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Asfawi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, M.H.</w:t>
            </w:r>
          </w:p>
          <w:p w14:paraId="10F3A824" w14:textId="75C9B9B7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196012311992031037</w:t>
            </w:r>
          </w:p>
        </w:tc>
        <w:tc>
          <w:tcPr>
            <w:tcW w:w="2977" w:type="dxa"/>
          </w:tcPr>
          <w:p w14:paraId="6E862067" w14:textId="4085BD35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2A95F985" w14:textId="77777777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6921E95" w14:textId="129A4CB6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623145EC" w14:textId="77777777" w:rsidTr="009B2CA7">
        <w:tc>
          <w:tcPr>
            <w:tcW w:w="426" w:type="dxa"/>
          </w:tcPr>
          <w:p w14:paraId="1FBDFF2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5414248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Drs. Idris, S.H.</w:t>
            </w:r>
          </w:p>
          <w:p w14:paraId="56F381D8" w14:textId="438D6C44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196212151994031004</w:t>
            </w:r>
          </w:p>
        </w:tc>
        <w:tc>
          <w:tcPr>
            <w:tcW w:w="2977" w:type="dxa"/>
          </w:tcPr>
          <w:p w14:paraId="56C91827" w14:textId="65B866C1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8" w:type="dxa"/>
          </w:tcPr>
          <w:p w14:paraId="7BB08474" w14:textId="4244304A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IV/d</w:t>
            </w:r>
          </w:p>
        </w:tc>
        <w:tc>
          <w:tcPr>
            <w:tcW w:w="1701" w:type="dxa"/>
          </w:tcPr>
          <w:p w14:paraId="3DD652BF" w14:textId="447DA208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</w:tbl>
    <w:p w14:paraId="76872575" w14:textId="77777777" w:rsidR="002E3DE3" w:rsidRPr="002E3DE3" w:rsidRDefault="002E3DE3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</w:p>
    <w:p w14:paraId="454907A8" w14:textId="0A104394" w:rsidR="00594D1D" w:rsidRDefault="00936DC2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  <w:r w:rsidRPr="002E3DE3">
        <w:rPr>
          <w:rFonts w:ascii="Bookman Old Style" w:hAnsi="Bookman Old Style"/>
          <w:sz w:val="21"/>
          <w:szCs w:val="21"/>
          <w:lang w:val="en-GB"/>
        </w:rPr>
        <w:tab/>
      </w:r>
    </w:p>
    <w:p w14:paraId="07AE87DB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8DA25FD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482D49F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2AC24042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0A169C95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29EE1D54" w14:textId="77777777" w:rsid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11EEC569" w14:textId="77777777" w:rsidR="009B2CA7" w:rsidRPr="009B2CA7" w:rsidRDefault="009B2CA7" w:rsidP="009B2CA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02A7E654" w14:textId="5DCF1E5D" w:rsidR="00345D1B" w:rsidRPr="002E3DE3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  <w:proofErr w:type="spellStart"/>
      <w:r w:rsidR="009B2CA7">
        <w:rPr>
          <w:rFonts w:ascii="Bookman Old Style" w:hAnsi="Bookman Old Style"/>
          <w:sz w:val="21"/>
          <w:szCs w:val="21"/>
        </w:rPr>
        <w:t>Mengikuti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2CA7">
        <w:rPr>
          <w:rFonts w:ascii="Bookman Old Style" w:hAnsi="Bookman Old Style"/>
          <w:sz w:val="21"/>
          <w:szCs w:val="21"/>
        </w:rPr>
        <w:t>kegiatan</w:t>
      </w:r>
      <w:proofErr w:type="spellEnd"/>
      <w:r w:rsidR="00D6777E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2CA7">
        <w:rPr>
          <w:rFonts w:ascii="Bookman Old Style" w:hAnsi="Bookman Old Style"/>
          <w:sz w:val="21"/>
          <w:szCs w:val="21"/>
        </w:rPr>
        <w:t>pembinaan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</w:t>
      </w:r>
      <w:r w:rsidR="009B2CA7" w:rsidRPr="002E3DE3">
        <w:rPr>
          <w:rFonts w:ascii="Bookman Old Style" w:hAnsi="Bookman Old Style"/>
          <w:sz w:val="21"/>
          <w:szCs w:val="21"/>
          <w:lang w:val="id-ID"/>
        </w:rPr>
        <w:t>Yang Mulia Ketua Mahkamah Agung RI, Prof. Dr. H. Sunarto, S.H., M.H</w:t>
      </w:r>
      <w:r w:rsidR="009B2CA7" w:rsidRPr="002E3DE3">
        <w:rPr>
          <w:rFonts w:ascii="Bookman Old Style" w:hAnsi="Bookman Old Style"/>
          <w:sz w:val="21"/>
          <w:szCs w:val="21"/>
        </w:rPr>
        <w:t xml:space="preserve">. </w:t>
      </w:r>
      <w:r w:rsidR="002C5AD1" w:rsidRPr="002E3DE3">
        <w:rPr>
          <w:rFonts w:ascii="Bookman Old Style" w:hAnsi="Bookman Old Style"/>
          <w:sz w:val="21"/>
          <w:szCs w:val="21"/>
        </w:rPr>
        <w:t xml:space="preserve">di </w:t>
      </w:r>
      <w:r w:rsidR="009B2CA7">
        <w:rPr>
          <w:rFonts w:ascii="Bookman Old Style" w:hAnsi="Bookman Old Style"/>
          <w:sz w:val="21"/>
          <w:szCs w:val="21"/>
        </w:rPr>
        <w:t xml:space="preserve">Kantor </w:t>
      </w:r>
      <w:proofErr w:type="spellStart"/>
      <w:r w:rsidR="009B2CA7">
        <w:rPr>
          <w:rFonts w:ascii="Bookman Old Style" w:hAnsi="Bookman Old Style"/>
          <w:sz w:val="21"/>
          <w:szCs w:val="21"/>
        </w:rPr>
        <w:t>Pengadilan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Negeri Padang</w:t>
      </w:r>
      <w:r w:rsidR="006971BD" w:rsidRPr="002E3DE3">
        <w:rPr>
          <w:rFonts w:ascii="Bookman Old Style" w:hAnsi="Bookman Old Style"/>
          <w:sz w:val="21"/>
          <w:szCs w:val="21"/>
        </w:rPr>
        <w:t>.</w:t>
      </w:r>
    </w:p>
    <w:p w14:paraId="76038CA1" w14:textId="675A5F3E" w:rsidR="002C5AD1" w:rsidRPr="002E3DE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3B67BDBE" w:rsidR="00CE5A2B" w:rsidRPr="002E3DE3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E3DE3">
        <w:rPr>
          <w:rFonts w:ascii="Bookman Old Style" w:hAnsi="Bookman Old Style"/>
          <w:spacing w:val="-4"/>
          <w:sz w:val="21"/>
          <w:szCs w:val="21"/>
        </w:rPr>
        <w:t>t</w:t>
      </w:r>
      <w:r w:rsidRPr="002E3DE3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BBDE6CB" w:rsidR="00422CD3" w:rsidRPr="002E3DE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42158B8A" w14:textId="77777777" w:rsidR="009D7F33" w:rsidRPr="002E3DE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6D09F4C" w14:textId="57B0BF48" w:rsidR="00A9495E" w:rsidRPr="002E3DE3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 xml:space="preserve">Padang, </w:t>
      </w:r>
      <w:r w:rsidR="009B2CA7">
        <w:rPr>
          <w:rFonts w:ascii="Bookman Old Style" w:hAnsi="Bookman Old Style"/>
          <w:sz w:val="21"/>
          <w:szCs w:val="21"/>
        </w:rPr>
        <w:t>23 April 2025</w:t>
      </w:r>
    </w:p>
    <w:p w14:paraId="70FD4838" w14:textId="2698FC94" w:rsidR="00422CD3" w:rsidRPr="002E3DE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1E0190F" w14:textId="2534FA74" w:rsidR="004A4C8F" w:rsidRPr="002E3DE3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</w:p>
    <w:p w14:paraId="0C4322EB" w14:textId="71DA0B48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1FA081D9" w14:textId="77777777" w:rsidR="00220788" w:rsidRPr="002E3DE3" w:rsidRDefault="00220788" w:rsidP="002C5AD1">
      <w:pPr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2E3DE3" w:rsidRDefault="0017747E" w:rsidP="002C5AD1">
      <w:pPr>
        <w:rPr>
          <w:rFonts w:ascii="Bookman Old Style" w:hAnsi="Bookman Old Style"/>
          <w:sz w:val="21"/>
          <w:szCs w:val="21"/>
        </w:rPr>
      </w:pPr>
    </w:p>
    <w:p w14:paraId="5D4DCB9F" w14:textId="18A38100" w:rsidR="00422CD3" w:rsidRPr="002E3DE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2E3DE3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2E3DE3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220788" w:rsidRPr="002E3DE3"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6D66CD7C" w14:textId="77777777" w:rsidR="009D7F33" w:rsidRPr="002E3DE3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  <w:lang w:val="en-GB"/>
        </w:rPr>
      </w:pPr>
    </w:p>
    <w:p w14:paraId="2F3568DB" w14:textId="77777777" w:rsidR="005A79AD" w:rsidRPr="002E3DE3" w:rsidRDefault="005A79AD" w:rsidP="002C5AD1">
      <w:pPr>
        <w:rPr>
          <w:rFonts w:ascii="Bookman Old Style" w:hAnsi="Bookman Old Style"/>
          <w:sz w:val="21"/>
          <w:szCs w:val="21"/>
          <w:lang w:val="id-ID"/>
        </w:rPr>
      </w:pPr>
    </w:p>
    <w:p w14:paraId="7EADBB8E" w14:textId="32A71C33" w:rsidR="00FF6877" w:rsidRPr="002E3DE3" w:rsidRDefault="00FF6877" w:rsidP="00220788">
      <w:pPr>
        <w:rPr>
          <w:rFonts w:ascii="Bookman Old Style" w:hAnsi="Bookman Old Style"/>
          <w:sz w:val="21"/>
          <w:szCs w:val="21"/>
        </w:rPr>
      </w:pPr>
    </w:p>
    <w:sectPr w:rsidR="00FF6877" w:rsidRPr="002E3DE3" w:rsidSect="001A3211">
      <w:pgSz w:w="11906" w:h="16838" w:code="9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BFD"/>
    <w:multiLevelType w:val="hybridMultilevel"/>
    <w:tmpl w:val="D7FE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3387">
    <w:abstractNumId w:val="2"/>
  </w:num>
  <w:num w:numId="2" w16cid:durableId="1800804571">
    <w:abstractNumId w:val="0"/>
  </w:num>
  <w:num w:numId="3" w16cid:durableId="4128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A3211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3DE3"/>
    <w:rsid w:val="002E793B"/>
    <w:rsid w:val="002F4537"/>
    <w:rsid w:val="00317FD4"/>
    <w:rsid w:val="003319AC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1173B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C7AF1"/>
    <w:rsid w:val="007E25AB"/>
    <w:rsid w:val="007E630E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B2CA7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8105A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4FCF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7345E"/>
    <w:rsid w:val="00F83820"/>
    <w:rsid w:val="00F90CA0"/>
    <w:rsid w:val="00FA6E1A"/>
    <w:rsid w:val="00FC4564"/>
    <w:rsid w:val="00FD05C0"/>
    <w:rsid w:val="00FD1C56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cmZwT2dZUlhISHErNzkrc3NQQ01pQT09IiwiaXYiOiI1MTM3ZTMzY2ZjNTg4ZTkwZmVkYmUwNmQ0ZDE3MDAxMCIsInNhbHQiOiJmNzQxMmExNyIsIml0ZXJhdGlvbnMiOjk5OX0%3D" TargetMode="Externa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QkMwSGoxenlnUFpQM1dBWFdcL2xkOGc9PSIsIml2IjoiZmRmZjY5MWE2MDg4NDljODYyYzlmZWM5MDlkNTAwNDYiLCJzYWx0IjoiZWViNTA3ZjEiLCJpdGVyYXRpb25zIjo5OTl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aFFwbytZS1luRGRBeDJRRkNFRVFoUT09IiwiaXYiOiJkMjM1ZmZlYzYxNzkwM2I1NTY2YzhmMzc3NjU1N2ViMiIsInNhbHQiOiI0YjY0ZjZkMyIsIml0ZXJhdGlvbnMiOjk5O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2025-01-13T06:54:00Z</cp:lastPrinted>
  <dcterms:created xsi:type="dcterms:W3CDTF">2025-04-23T08:37:00Z</dcterms:created>
  <dcterms:modified xsi:type="dcterms:W3CDTF">2025-04-23T08:52:00Z</dcterms:modified>
</cp:coreProperties>
</file>